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p w:rsidR="00E502BC" w:rsidRDefault="00132F77">
      <w:pPr>
        <w:pStyle w:val="Naslov1"/>
      </w:pPr>
      <w:r>
        <w:t>012 DRŽAVNO IZBORNO POVJERENSTVO REPUBLIKE HRVATSKE</w:t>
      </w:r>
    </w:p>
    <w:p w:rsidR="00E502BC" w:rsidRDefault="00132F77">
      <w:r>
        <w:t xml:space="preserve">Državno izborno povjerenstvo Republike Hrvatske (dalje: Državno izborno povjerenstvo) je stalno i neovisno državno tijelo koje obavlja poslove iz svog djelokruga u skladu sa Zakonom o Državnom izbornom povjerenstvu Republike Hrvatske te zakonima kojima je </w:t>
      </w:r>
      <w:r>
        <w:t xml:space="preserve">regulirana provedba izbora u Republici Hrvatskoj, kao i provedba državnog, lokalnog i savjetodavnog referenduma. Nadležnost Državnog izbornog povjerenstva u provedbi nadzora financiranja političkih aktivnosti, izborne promidžbe i referenduma, propisana je </w:t>
      </w:r>
      <w:r>
        <w:t>Zakonom o financiranju političkih aktivnosti, izborne promidžbe i referenduma.</w:t>
      </w:r>
    </w:p>
    <w:tbl>
      <w:tblPr>
        <w:tblStyle w:val="StilTablice"/>
        <w:tblW w:w="10206" w:type="dxa"/>
        <w:jc w:val="center"/>
        <w:tblLook w:val="04A0" w:firstRow="1" w:lastRow="0" w:firstColumn="1" w:lastColumn="0" w:noHBand="0" w:noVBand="1"/>
      </w:tblPr>
      <w:tblGrid>
        <w:gridCol w:w="1638"/>
        <w:gridCol w:w="2040"/>
        <w:gridCol w:w="2040"/>
        <w:gridCol w:w="2040"/>
        <w:gridCol w:w="1224"/>
        <w:gridCol w:w="1224"/>
      </w:tblGrid>
      <w:tr w:rsidR="00E502BC">
        <w:trPr>
          <w:jc w:val="center"/>
        </w:trPr>
        <w:tc>
          <w:tcPr>
            <w:tcW w:w="1632" w:type="dxa"/>
            <w:shd w:val="clear" w:color="auto" w:fill="B5C0D8"/>
          </w:tcPr>
          <w:p w:rsidR="00E502BC" w:rsidRDefault="00E502BC">
            <w:pPr>
              <w:pStyle w:val="CellHeader"/>
              <w:jc w:val="center"/>
            </w:pPr>
          </w:p>
        </w:tc>
        <w:tc>
          <w:tcPr>
            <w:tcW w:w="2041" w:type="dxa"/>
            <w:shd w:val="clear" w:color="auto" w:fill="B5C0D8"/>
          </w:tcPr>
          <w:p w:rsidR="00E502BC" w:rsidRDefault="00132F77">
            <w:pPr>
              <w:pStyle w:val="CellHeader"/>
              <w:jc w:val="center"/>
            </w:pPr>
            <w:r>
              <w:rPr>
                <w:rFonts w:cs="Times New Roman"/>
              </w:rPr>
              <w:t>Izvršenje 2024. (eur)</w:t>
            </w:r>
          </w:p>
        </w:tc>
        <w:tc>
          <w:tcPr>
            <w:tcW w:w="2041" w:type="dxa"/>
            <w:shd w:val="clear" w:color="auto" w:fill="B5C0D8"/>
          </w:tcPr>
          <w:p w:rsidR="00E502BC" w:rsidRDefault="00132F77">
            <w:pPr>
              <w:pStyle w:val="CellHeader"/>
              <w:jc w:val="center"/>
            </w:pPr>
            <w:r>
              <w:rPr>
                <w:rFonts w:cs="Times New Roman"/>
              </w:rPr>
              <w:t>Plan 2025. (eur)</w:t>
            </w:r>
          </w:p>
        </w:tc>
        <w:tc>
          <w:tcPr>
            <w:tcW w:w="2041" w:type="dxa"/>
            <w:shd w:val="clear" w:color="auto" w:fill="B5C0D8"/>
          </w:tcPr>
          <w:p w:rsidR="00E502BC" w:rsidRDefault="00132F77">
            <w:pPr>
              <w:pStyle w:val="CellHeader"/>
              <w:jc w:val="center"/>
            </w:pPr>
            <w:r>
              <w:rPr>
                <w:rFonts w:cs="Times New Roman"/>
              </w:rPr>
              <w:t>Izvršenje 2025. (eur)</w:t>
            </w:r>
          </w:p>
        </w:tc>
        <w:tc>
          <w:tcPr>
            <w:tcW w:w="1224" w:type="dxa"/>
            <w:shd w:val="clear" w:color="auto" w:fill="B5C0D8"/>
          </w:tcPr>
          <w:p w:rsidR="00E502BC" w:rsidRDefault="00132F77">
            <w:pPr>
              <w:pStyle w:val="CellHeader"/>
              <w:jc w:val="center"/>
            </w:pPr>
            <w:r>
              <w:rPr>
                <w:rFonts w:cs="Times New Roman"/>
              </w:rPr>
              <w:t>Indeks izvršenje 2025./plan 2025.</w:t>
            </w:r>
          </w:p>
        </w:tc>
        <w:tc>
          <w:tcPr>
            <w:tcW w:w="1224" w:type="dxa"/>
            <w:shd w:val="clear" w:color="auto" w:fill="B5C0D8"/>
          </w:tcPr>
          <w:p w:rsidR="00E502BC" w:rsidRDefault="00132F77">
            <w:pPr>
              <w:pStyle w:val="CellHeader"/>
              <w:jc w:val="center"/>
            </w:pPr>
            <w:r>
              <w:rPr>
                <w:rFonts w:cs="Times New Roman"/>
              </w:rPr>
              <w:t>Index izvršenje 2025./2024.</w:t>
            </w:r>
          </w:p>
        </w:tc>
      </w:tr>
      <w:tr w:rsidR="00E502BC">
        <w:trPr>
          <w:jc w:val="center"/>
        </w:trPr>
        <w:tc>
          <w:tcPr>
            <w:tcW w:w="1632" w:type="dxa"/>
            <w:vAlign w:val="top"/>
          </w:tcPr>
          <w:p w:rsidR="00E502BC" w:rsidRDefault="00132F77">
            <w:pPr>
              <w:pStyle w:val="CellColumn"/>
              <w:jc w:val="left"/>
            </w:pPr>
            <w:r>
              <w:rPr>
                <w:rFonts w:cs="Times New Roman"/>
              </w:rPr>
              <w:t>01205-Državno izborno povjerenstvo Republike Hrvatske</w:t>
            </w:r>
          </w:p>
        </w:tc>
        <w:tc>
          <w:tcPr>
            <w:tcW w:w="2041" w:type="dxa"/>
            <w:vAlign w:val="top"/>
          </w:tcPr>
          <w:p w:rsidR="00E502BC" w:rsidRDefault="00132F77">
            <w:pPr>
              <w:pStyle w:val="CellColumn"/>
              <w:jc w:val="right"/>
            </w:pPr>
            <w:r>
              <w:rPr>
                <w:rFonts w:cs="Times New Roman"/>
              </w:rPr>
              <w:t>31.147.483</w:t>
            </w:r>
          </w:p>
        </w:tc>
        <w:tc>
          <w:tcPr>
            <w:tcW w:w="2041" w:type="dxa"/>
            <w:vAlign w:val="top"/>
          </w:tcPr>
          <w:p w:rsidR="00E502BC" w:rsidRDefault="00132F77">
            <w:pPr>
              <w:pStyle w:val="CellColumn"/>
              <w:jc w:val="right"/>
            </w:pPr>
            <w:r>
              <w:rPr>
                <w:rFonts w:cs="Times New Roman"/>
              </w:rPr>
              <w:t>14.817.384</w:t>
            </w:r>
          </w:p>
        </w:tc>
        <w:tc>
          <w:tcPr>
            <w:tcW w:w="2041" w:type="dxa"/>
            <w:vAlign w:val="top"/>
          </w:tcPr>
          <w:p w:rsidR="00E502BC" w:rsidRDefault="00132F77">
            <w:pPr>
              <w:pStyle w:val="CellColumn"/>
              <w:jc w:val="right"/>
            </w:pPr>
            <w:r>
              <w:rPr>
                <w:rFonts w:cs="Times New Roman"/>
              </w:rPr>
              <w:t>13.578.988</w:t>
            </w:r>
          </w:p>
        </w:tc>
        <w:tc>
          <w:tcPr>
            <w:tcW w:w="1224" w:type="dxa"/>
            <w:vAlign w:val="top"/>
          </w:tcPr>
          <w:p w:rsidR="00E502BC" w:rsidRDefault="00132F77">
            <w:pPr>
              <w:pStyle w:val="CellColumn"/>
              <w:jc w:val="right"/>
            </w:pPr>
            <w:r>
              <w:rPr>
                <w:rFonts w:cs="Times New Roman"/>
              </w:rPr>
              <w:t>91,6</w:t>
            </w:r>
          </w:p>
        </w:tc>
        <w:tc>
          <w:tcPr>
            <w:tcW w:w="1224" w:type="dxa"/>
            <w:vAlign w:val="top"/>
          </w:tcPr>
          <w:p w:rsidR="00E502BC" w:rsidRDefault="00132F77">
            <w:pPr>
              <w:pStyle w:val="CellColumn"/>
              <w:jc w:val="right"/>
            </w:pPr>
            <w:r>
              <w:rPr>
                <w:rFonts w:cs="Times New Roman"/>
              </w:rPr>
              <w:t>43,6</w:t>
            </w:r>
          </w:p>
        </w:tc>
      </w:tr>
      <w:tr w:rsidR="00E502BC">
        <w:trPr>
          <w:jc w:val="center"/>
        </w:trPr>
        <w:tc>
          <w:tcPr>
            <w:tcW w:w="1632" w:type="dxa"/>
            <w:shd w:val="clear" w:color="auto" w:fill="B5C0D8"/>
          </w:tcPr>
          <w:p w:rsidR="00E502BC" w:rsidRDefault="00132F77">
            <w:pPr>
              <w:pStyle w:val="CellColumn"/>
              <w:jc w:val="left"/>
            </w:pPr>
            <w:r>
              <w:rPr>
                <w:rFonts w:cs="Times New Roman"/>
              </w:rPr>
              <w:t>Ukupno 012-DRŽAVNO IZBORNO POVJERENSTVO REPUBLIKE HRVATSKE</w:t>
            </w:r>
          </w:p>
        </w:tc>
        <w:tc>
          <w:tcPr>
            <w:tcW w:w="2041" w:type="dxa"/>
            <w:shd w:val="clear" w:color="auto" w:fill="B5C0D8"/>
          </w:tcPr>
          <w:p w:rsidR="00E502BC" w:rsidRDefault="00132F77">
            <w:pPr>
              <w:pStyle w:val="CellColumn"/>
              <w:jc w:val="right"/>
            </w:pPr>
            <w:r>
              <w:rPr>
                <w:rFonts w:cs="Times New Roman"/>
              </w:rPr>
              <w:t>31.147.483</w:t>
            </w:r>
          </w:p>
        </w:tc>
        <w:tc>
          <w:tcPr>
            <w:tcW w:w="2041" w:type="dxa"/>
            <w:shd w:val="clear" w:color="auto" w:fill="B5C0D8"/>
          </w:tcPr>
          <w:p w:rsidR="00E502BC" w:rsidRDefault="00132F77">
            <w:pPr>
              <w:pStyle w:val="CellColumn"/>
              <w:jc w:val="right"/>
            </w:pPr>
            <w:r>
              <w:rPr>
                <w:rFonts w:cs="Times New Roman"/>
              </w:rPr>
              <w:t>14.817.384</w:t>
            </w:r>
          </w:p>
        </w:tc>
        <w:tc>
          <w:tcPr>
            <w:tcW w:w="2041" w:type="dxa"/>
            <w:shd w:val="clear" w:color="auto" w:fill="B5C0D8"/>
          </w:tcPr>
          <w:p w:rsidR="00E502BC" w:rsidRDefault="00132F77">
            <w:pPr>
              <w:pStyle w:val="CellColumn"/>
              <w:jc w:val="right"/>
            </w:pPr>
            <w:r>
              <w:rPr>
                <w:rFonts w:cs="Times New Roman"/>
              </w:rPr>
              <w:t>13.578.988</w:t>
            </w:r>
          </w:p>
        </w:tc>
        <w:tc>
          <w:tcPr>
            <w:tcW w:w="1224" w:type="dxa"/>
            <w:shd w:val="clear" w:color="auto" w:fill="B5C0D8"/>
          </w:tcPr>
          <w:p w:rsidR="00E502BC" w:rsidRDefault="00132F77">
            <w:pPr>
              <w:pStyle w:val="CellColumn"/>
              <w:jc w:val="right"/>
            </w:pPr>
            <w:r>
              <w:rPr>
                <w:rFonts w:cs="Times New Roman"/>
              </w:rPr>
              <w:t>91,6</w:t>
            </w:r>
          </w:p>
        </w:tc>
        <w:tc>
          <w:tcPr>
            <w:tcW w:w="1224" w:type="dxa"/>
            <w:shd w:val="clear" w:color="auto" w:fill="B5C0D8"/>
          </w:tcPr>
          <w:p w:rsidR="00E502BC" w:rsidRDefault="00132F77">
            <w:pPr>
              <w:pStyle w:val="CellColumn"/>
              <w:jc w:val="right"/>
            </w:pPr>
            <w:r>
              <w:rPr>
                <w:rFonts w:cs="Times New Roman"/>
              </w:rPr>
              <w:t>43,6</w:t>
            </w:r>
          </w:p>
        </w:tc>
      </w:tr>
    </w:tbl>
    <w:p w:rsidR="00E502BC" w:rsidRDefault="00E502BC">
      <w:pPr>
        <w:jc w:val="left"/>
      </w:pPr>
    </w:p>
    <w:p w:rsidR="00E502BC" w:rsidRDefault="00132F77">
      <w:pPr>
        <w:pStyle w:val="Naslov2"/>
      </w:pPr>
      <w:r>
        <w:t>01205 Državno izborno povjerenstvo Republike Hrvatske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502BC">
        <w:trPr>
          <w:jc w:val="center"/>
        </w:trPr>
        <w:tc>
          <w:tcPr>
            <w:tcW w:w="1632" w:type="dxa"/>
            <w:shd w:val="clear" w:color="auto" w:fill="B5C0D8"/>
          </w:tcPr>
          <w:p w:rsidR="00E502BC" w:rsidRDefault="00E502BC">
            <w:pPr>
              <w:pStyle w:val="CellHeader"/>
              <w:jc w:val="center"/>
            </w:pPr>
          </w:p>
        </w:tc>
        <w:tc>
          <w:tcPr>
            <w:tcW w:w="2041" w:type="dxa"/>
            <w:shd w:val="clear" w:color="auto" w:fill="B5C0D8"/>
          </w:tcPr>
          <w:p w:rsidR="00E502BC" w:rsidRDefault="00132F77">
            <w:pPr>
              <w:pStyle w:val="CellHeader"/>
              <w:jc w:val="center"/>
            </w:pPr>
            <w:r>
              <w:rPr>
                <w:rFonts w:cs="Times New Roman"/>
              </w:rPr>
              <w:t>Izvršenje 2024. (eur)</w:t>
            </w:r>
          </w:p>
        </w:tc>
        <w:tc>
          <w:tcPr>
            <w:tcW w:w="2041" w:type="dxa"/>
            <w:shd w:val="clear" w:color="auto" w:fill="B5C0D8"/>
          </w:tcPr>
          <w:p w:rsidR="00E502BC" w:rsidRDefault="00132F77">
            <w:pPr>
              <w:pStyle w:val="CellHeader"/>
              <w:jc w:val="center"/>
            </w:pPr>
            <w:r>
              <w:rPr>
                <w:rFonts w:cs="Times New Roman"/>
              </w:rPr>
              <w:t>Plan 2025. (eur)</w:t>
            </w:r>
          </w:p>
        </w:tc>
        <w:tc>
          <w:tcPr>
            <w:tcW w:w="2041" w:type="dxa"/>
            <w:shd w:val="clear" w:color="auto" w:fill="B5C0D8"/>
          </w:tcPr>
          <w:p w:rsidR="00E502BC" w:rsidRDefault="00132F77">
            <w:pPr>
              <w:pStyle w:val="CellHeader"/>
              <w:jc w:val="center"/>
            </w:pPr>
            <w:r>
              <w:rPr>
                <w:rFonts w:cs="Times New Roman"/>
              </w:rPr>
              <w:t>Izvršenje 2025. (eur)</w:t>
            </w:r>
          </w:p>
        </w:tc>
        <w:tc>
          <w:tcPr>
            <w:tcW w:w="1224" w:type="dxa"/>
            <w:shd w:val="clear" w:color="auto" w:fill="B5C0D8"/>
          </w:tcPr>
          <w:p w:rsidR="00E502BC" w:rsidRDefault="00132F77">
            <w:pPr>
              <w:pStyle w:val="CellHeader"/>
              <w:jc w:val="center"/>
            </w:pPr>
            <w:r>
              <w:rPr>
                <w:rFonts w:cs="Times New Roman"/>
              </w:rPr>
              <w:t>Indeks izvršenje 2025./plan 2025.</w:t>
            </w:r>
          </w:p>
        </w:tc>
        <w:tc>
          <w:tcPr>
            <w:tcW w:w="1224" w:type="dxa"/>
            <w:shd w:val="clear" w:color="auto" w:fill="B5C0D8"/>
          </w:tcPr>
          <w:p w:rsidR="00E502BC" w:rsidRDefault="00132F77">
            <w:pPr>
              <w:pStyle w:val="CellHeader"/>
              <w:jc w:val="center"/>
            </w:pPr>
            <w:r>
              <w:rPr>
                <w:rFonts w:cs="Times New Roman"/>
              </w:rPr>
              <w:t>Indeks izvršenje 2025./2024.</w:t>
            </w:r>
          </w:p>
        </w:tc>
      </w:tr>
      <w:tr w:rsidR="00E502BC">
        <w:trPr>
          <w:jc w:val="center"/>
        </w:trPr>
        <w:tc>
          <w:tcPr>
            <w:tcW w:w="1632" w:type="dxa"/>
            <w:vAlign w:val="top"/>
          </w:tcPr>
          <w:p w:rsidR="00E502BC" w:rsidRDefault="00132F77">
            <w:pPr>
              <w:pStyle w:val="CellColumn"/>
              <w:jc w:val="left"/>
            </w:pPr>
            <w:r>
              <w:rPr>
                <w:rFonts w:cs="Times New Roman"/>
              </w:rPr>
              <w:t>01205-Državno izborno povjerenstvo Republike Hrvatske</w:t>
            </w:r>
          </w:p>
        </w:tc>
        <w:tc>
          <w:tcPr>
            <w:tcW w:w="2041" w:type="dxa"/>
            <w:vAlign w:val="top"/>
          </w:tcPr>
          <w:p w:rsidR="00E502BC" w:rsidRDefault="00132F77">
            <w:pPr>
              <w:pStyle w:val="CellColumn"/>
              <w:jc w:val="right"/>
            </w:pPr>
            <w:r>
              <w:rPr>
                <w:rFonts w:cs="Times New Roman"/>
              </w:rPr>
              <w:t>31.147.483</w:t>
            </w:r>
          </w:p>
        </w:tc>
        <w:tc>
          <w:tcPr>
            <w:tcW w:w="2041" w:type="dxa"/>
            <w:vAlign w:val="top"/>
          </w:tcPr>
          <w:p w:rsidR="00E502BC" w:rsidRDefault="00132F77">
            <w:pPr>
              <w:pStyle w:val="CellColumn"/>
              <w:jc w:val="right"/>
            </w:pPr>
            <w:r>
              <w:rPr>
                <w:rFonts w:cs="Times New Roman"/>
              </w:rPr>
              <w:t>14.817.384</w:t>
            </w:r>
          </w:p>
        </w:tc>
        <w:tc>
          <w:tcPr>
            <w:tcW w:w="2041" w:type="dxa"/>
            <w:vAlign w:val="top"/>
          </w:tcPr>
          <w:p w:rsidR="00E502BC" w:rsidRDefault="00132F77">
            <w:pPr>
              <w:pStyle w:val="CellColumn"/>
              <w:jc w:val="right"/>
            </w:pPr>
            <w:r>
              <w:rPr>
                <w:rFonts w:cs="Times New Roman"/>
              </w:rPr>
              <w:t>13.578.988</w:t>
            </w:r>
          </w:p>
        </w:tc>
        <w:tc>
          <w:tcPr>
            <w:tcW w:w="1224" w:type="dxa"/>
            <w:vAlign w:val="top"/>
          </w:tcPr>
          <w:p w:rsidR="00E502BC" w:rsidRDefault="00132F77">
            <w:pPr>
              <w:pStyle w:val="CellColumn"/>
              <w:jc w:val="right"/>
            </w:pPr>
            <w:r>
              <w:rPr>
                <w:rFonts w:cs="Times New Roman"/>
              </w:rPr>
              <w:t>91,6</w:t>
            </w:r>
          </w:p>
        </w:tc>
        <w:tc>
          <w:tcPr>
            <w:tcW w:w="1224" w:type="dxa"/>
            <w:vAlign w:val="top"/>
          </w:tcPr>
          <w:p w:rsidR="00E502BC" w:rsidRDefault="00132F77">
            <w:pPr>
              <w:pStyle w:val="CellColumn"/>
              <w:jc w:val="right"/>
            </w:pPr>
            <w:r>
              <w:rPr>
                <w:rFonts w:cs="Times New Roman"/>
              </w:rPr>
              <w:t>43,6</w:t>
            </w:r>
          </w:p>
        </w:tc>
      </w:tr>
      <w:tr w:rsidR="00E502BC">
        <w:trPr>
          <w:jc w:val="center"/>
        </w:trPr>
        <w:tc>
          <w:tcPr>
            <w:tcW w:w="1632" w:type="dxa"/>
          </w:tcPr>
          <w:p w:rsidR="00E502BC" w:rsidRDefault="00132F77">
            <w:pPr>
              <w:jc w:val="left"/>
            </w:pPr>
            <w:r>
              <w:t>2124-PROVEDBA IZBORA I REFERENDUMA</w:t>
            </w:r>
          </w:p>
        </w:tc>
        <w:tc>
          <w:tcPr>
            <w:tcW w:w="2041" w:type="dxa"/>
          </w:tcPr>
          <w:p w:rsidR="00E502BC" w:rsidRDefault="00132F77">
            <w:pPr>
              <w:jc w:val="right"/>
            </w:pPr>
            <w:r>
              <w:t>31.147.483</w:t>
            </w:r>
          </w:p>
        </w:tc>
        <w:tc>
          <w:tcPr>
            <w:tcW w:w="2041" w:type="dxa"/>
          </w:tcPr>
          <w:p w:rsidR="00E502BC" w:rsidRDefault="00132F77">
            <w:pPr>
              <w:jc w:val="right"/>
            </w:pPr>
            <w:r>
              <w:t>14.817.384</w:t>
            </w:r>
          </w:p>
        </w:tc>
        <w:tc>
          <w:tcPr>
            <w:tcW w:w="2041" w:type="dxa"/>
          </w:tcPr>
          <w:p w:rsidR="00E502BC" w:rsidRDefault="00132F77">
            <w:pPr>
              <w:jc w:val="right"/>
            </w:pPr>
            <w:r>
              <w:t>13.578.988</w:t>
            </w:r>
          </w:p>
        </w:tc>
        <w:tc>
          <w:tcPr>
            <w:tcW w:w="1224" w:type="dxa"/>
          </w:tcPr>
          <w:p w:rsidR="00E502BC" w:rsidRDefault="00132F77">
            <w:pPr>
              <w:jc w:val="right"/>
            </w:pPr>
            <w:r>
              <w:t>91,6</w:t>
            </w:r>
          </w:p>
        </w:tc>
        <w:tc>
          <w:tcPr>
            <w:tcW w:w="1224" w:type="dxa"/>
          </w:tcPr>
          <w:p w:rsidR="00E502BC" w:rsidRDefault="00132F77">
            <w:pPr>
              <w:jc w:val="right"/>
            </w:pPr>
            <w:r>
              <w:t>43,6</w:t>
            </w:r>
          </w:p>
        </w:tc>
      </w:tr>
    </w:tbl>
    <w:p w:rsidR="00E502BC" w:rsidRDefault="00E502BC">
      <w:pPr>
        <w:jc w:val="left"/>
      </w:pPr>
    </w:p>
    <w:p w:rsidR="00E502BC" w:rsidRDefault="00132F77">
      <w:pPr>
        <w:pStyle w:val="Naslov3"/>
      </w:pPr>
      <w:r>
        <w:rPr>
          <w:rFonts w:cs="Times New Roman"/>
        </w:rPr>
        <w:t>2124 PROVEDBA IZBORA I REFERENDUMA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502BC">
        <w:trPr>
          <w:jc w:val="center"/>
        </w:trPr>
        <w:tc>
          <w:tcPr>
            <w:tcW w:w="1632" w:type="dxa"/>
            <w:shd w:val="clear" w:color="auto" w:fill="B5C0D8"/>
          </w:tcPr>
          <w:p w:rsidR="00E502BC" w:rsidRDefault="00E502BC">
            <w:pPr>
              <w:pStyle w:val="CellHeader"/>
              <w:jc w:val="center"/>
            </w:pPr>
          </w:p>
        </w:tc>
        <w:tc>
          <w:tcPr>
            <w:tcW w:w="2041" w:type="dxa"/>
            <w:shd w:val="clear" w:color="auto" w:fill="B5C0D8"/>
          </w:tcPr>
          <w:p w:rsidR="00E502BC" w:rsidRDefault="00132F77">
            <w:pPr>
              <w:pStyle w:val="CellHeader"/>
              <w:jc w:val="center"/>
            </w:pPr>
            <w:r>
              <w:rPr>
                <w:rFonts w:cs="Times New Roman"/>
              </w:rPr>
              <w:t>Izvršenje 2024. (eur)</w:t>
            </w:r>
          </w:p>
        </w:tc>
        <w:tc>
          <w:tcPr>
            <w:tcW w:w="2041" w:type="dxa"/>
            <w:shd w:val="clear" w:color="auto" w:fill="B5C0D8"/>
          </w:tcPr>
          <w:p w:rsidR="00E502BC" w:rsidRDefault="00132F77">
            <w:pPr>
              <w:pStyle w:val="CellHeader"/>
              <w:jc w:val="center"/>
            </w:pPr>
            <w:r>
              <w:rPr>
                <w:rFonts w:cs="Times New Roman"/>
              </w:rPr>
              <w:t>Plan 2025. (eur)</w:t>
            </w:r>
          </w:p>
        </w:tc>
        <w:tc>
          <w:tcPr>
            <w:tcW w:w="2041" w:type="dxa"/>
            <w:shd w:val="clear" w:color="auto" w:fill="B5C0D8"/>
          </w:tcPr>
          <w:p w:rsidR="00E502BC" w:rsidRDefault="00132F77">
            <w:pPr>
              <w:pStyle w:val="CellHeader"/>
              <w:jc w:val="center"/>
            </w:pPr>
            <w:r>
              <w:rPr>
                <w:rFonts w:cs="Times New Roman"/>
              </w:rPr>
              <w:t>Izvršenje 2025. (eur)</w:t>
            </w:r>
          </w:p>
        </w:tc>
        <w:tc>
          <w:tcPr>
            <w:tcW w:w="1224" w:type="dxa"/>
            <w:shd w:val="clear" w:color="auto" w:fill="B5C0D8"/>
          </w:tcPr>
          <w:p w:rsidR="00E502BC" w:rsidRDefault="00132F77">
            <w:pPr>
              <w:pStyle w:val="CellHeader"/>
              <w:jc w:val="center"/>
            </w:pPr>
            <w:r>
              <w:rPr>
                <w:rFonts w:cs="Times New Roman"/>
              </w:rPr>
              <w:t>Indeks izvršenje 2025./plan 2025.</w:t>
            </w:r>
          </w:p>
        </w:tc>
        <w:tc>
          <w:tcPr>
            <w:tcW w:w="1224" w:type="dxa"/>
            <w:shd w:val="clear" w:color="auto" w:fill="B5C0D8"/>
          </w:tcPr>
          <w:p w:rsidR="00E502BC" w:rsidRDefault="00132F77">
            <w:pPr>
              <w:pStyle w:val="CellHeader"/>
              <w:jc w:val="center"/>
            </w:pPr>
            <w:r>
              <w:rPr>
                <w:rFonts w:cs="Times New Roman"/>
              </w:rPr>
              <w:t>Index izvršenje 2025./2024.</w:t>
            </w:r>
          </w:p>
        </w:tc>
      </w:tr>
      <w:tr w:rsidR="00E502BC">
        <w:trPr>
          <w:jc w:val="center"/>
        </w:trPr>
        <w:tc>
          <w:tcPr>
            <w:tcW w:w="1632" w:type="dxa"/>
          </w:tcPr>
          <w:p w:rsidR="00E502BC" w:rsidRDefault="00132F77">
            <w:pPr>
              <w:pStyle w:val="CellColumn"/>
              <w:jc w:val="left"/>
            </w:pPr>
            <w:r>
              <w:rPr>
                <w:rFonts w:cs="Times New Roman"/>
              </w:rPr>
              <w:lastRenderedPageBreak/>
              <w:t>2124-PROVEDBA IZBORA I REFERENDUMA</w:t>
            </w:r>
          </w:p>
        </w:tc>
        <w:tc>
          <w:tcPr>
            <w:tcW w:w="2041" w:type="dxa"/>
          </w:tcPr>
          <w:p w:rsidR="00E502BC" w:rsidRDefault="00132F77">
            <w:pPr>
              <w:pStyle w:val="CellColumn"/>
              <w:jc w:val="right"/>
            </w:pPr>
            <w:r>
              <w:rPr>
                <w:rFonts w:cs="Times New Roman"/>
              </w:rPr>
              <w:t>31.147.483</w:t>
            </w:r>
          </w:p>
        </w:tc>
        <w:tc>
          <w:tcPr>
            <w:tcW w:w="2041" w:type="dxa"/>
          </w:tcPr>
          <w:p w:rsidR="00E502BC" w:rsidRDefault="00132F77">
            <w:pPr>
              <w:pStyle w:val="CellColumn"/>
              <w:jc w:val="right"/>
            </w:pPr>
            <w:r>
              <w:rPr>
                <w:rFonts w:cs="Times New Roman"/>
              </w:rPr>
              <w:t>14.817.384</w:t>
            </w:r>
          </w:p>
        </w:tc>
        <w:tc>
          <w:tcPr>
            <w:tcW w:w="2041" w:type="dxa"/>
          </w:tcPr>
          <w:p w:rsidR="00E502BC" w:rsidRDefault="00132F77">
            <w:pPr>
              <w:pStyle w:val="CellColumn"/>
              <w:jc w:val="right"/>
            </w:pPr>
            <w:r>
              <w:rPr>
                <w:rFonts w:cs="Times New Roman"/>
              </w:rPr>
              <w:t>13.578.988</w:t>
            </w:r>
          </w:p>
        </w:tc>
        <w:tc>
          <w:tcPr>
            <w:tcW w:w="1224" w:type="dxa"/>
          </w:tcPr>
          <w:p w:rsidR="00E502BC" w:rsidRDefault="00132F77">
            <w:pPr>
              <w:pStyle w:val="CellColumn"/>
              <w:jc w:val="right"/>
            </w:pPr>
            <w:r>
              <w:rPr>
                <w:rFonts w:cs="Times New Roman"/>
              </w:rPr>
              <w:t>91,6</w:t>
            </w:r>
          </w:p>
        </w:tc>
        <w:tc>
          <w:tcPr>
            <w:tcW w:w="1224" w:type="dxa"/>
          </w:tcPr>
          <w:p w:rsidR="00E502BC" w:rsidRDefault="00132F77">
            <w:pPr>
              <w:pStyle w:val="CellColumn"/>
              <w:jc w:val="right"/>
            </w:pPr>
            <w:r>
              <w:rPr>
                <w:rFonts w:cs="Times New Roman"/>
              </w:rPr>
              <w:t>43,6</w:t>
            </w:r>
          </w:p>
        </w:tc>
      </w:tr>
    </w:tbl>
    <w:p w:rsidR="00E502BC" w:rsidRDefault="00E502BC">
      <w:pPr>
        <w:jc w:val="left"/>
      </w:pPr>
    </w:p>
    <w:p w:rsidR="00E502BC" w:rsidRDefault="00132F77">
      <w:r>
        <w:t>Nadležnost Državnog izbornog povjerenstva dijeli se na: nadležnost Državnog izbornog povjerenstva koja se odnosi na provedbu izbora i referenduma; nadležnost Državnog izbornog povjerenstva koja se odnosi na provedbu nadzora financiranja političkih aktivnos</w:t>
      </w:r>
      <w:r>
        <w:t>ti (dalje: redovan godišnji nadzor financiranja), nadzora financiranja izborne promidžbe i nadzora financiranja referendumskih aktivnosti i na ostale nadležnosti Državnog izbornog povjerenstva propisane člankom 11. st. 2. Zakona o Državnom izbornom povjere</w:t>
      </w:r>
      <w:r>
        <w:t xml:space="preserve">nstvu Republike Hrvatske. </w:t>
      </w:r>
    </w:p>
    <w:p w:rsidR="00E502BC" w:rsidRDefault="00132F77">
      <w:r>
        <w:t xml:space="preserve">Pojedine nadležnosti Državnog izbornog povjerenstva se provode svake godine uslijed čega u planiranju određenih sredstava postoji konstanta, dok planiranje sredstava na određenim pozicijama ovisi o tome da li se u godini za koju </w:t>
      </w:r>
      <w:r>
        <w:t xml:space="preserve">se planiraju sredstva očekuje provedba redovnih izbora/referenduma. </w:t>
      </w:r>
    </w:p>
    <w:p w:rsidR="00E502BC" w:rsidRDefault="00132F77">
      <w:r>
        <w:t>Tijekom 2025. provedeni su sljedeći izbori: drugi krug izbora za predsjednika Republike Hrvatske koji je održan 12. siječnja 2025., lokalni izbori koji su održani 18. svibnja 2025. godine</w:t>
      </w:r>
      <w:r>
        <w:t xml:space="preserve">, dok je drugi krug održan 1. lipnja 2025., dopunski izbori koji su održani 5. listopada 2025. godine te prijevremeni izbori članova Gradskog vijeća Grada Đakova koji su održani 9. studenog 2025. (dalje: prijevremeni lokalni izbori). </w:t>
      </w:r>
    </w:p>
    <w:p w:rsidR="00E502BC" w:rsidRDefault="00132F77">
      <w:r>
        <w:t>Nastavno na izbore od</w:t>
      </w:r>
      <w:r>
        <w:t>ržane tijekom 2025. proveden je nadzor financiranja izborne promidžbe na predsjedničkim izborima 2024./2025., nadzor financiranja izborne promidžbe na lokalnim izborima, nadzor financiranja izborne promidžbe na dopunskim izborima te nadzor financiranja izb</w:t>
      </w:r>
      <w:r>
        <w:t xml:space="preserve">orne promidžbe na prijevremenim lokalnim izborima. </w:t>
      </w:r>
    </w:p>
    <w:p w:rsidR="00E502BC" w:rsidRDefault="00132F77">
      <w:r>
        <w:t>Tijekom 2025. Državno izborno povjerenstvo provodilo je nadzor redovnog godišnjeg financiranja za 2024., i to nad: ukupno 1.142 subjekta nadzora (166 političkih stranaka -19 parlamentarnih i 147 izvanparl</w:t>
      </w:r>
      <w:r>
        <w:t>amentarnih; 6 nezavisnih zastupnika i 930 nezavisnih vijećnika).</w:t>
      </w:r>
    </w:p>
    <w:p w:rsidR="00E502BC" w:rsidRDefault="00132F77">
      <w:pPr>
        <w:pStyle w:val="Naslov8"/>
        <w:jc w:val="left"/>
      </w:pPr>
      <w:r>
        <w:t xml:space="preserve">Cilj 1. Educirani članovi izbornih tijela, tijela koja provode referendume i birači </w:t>
      </w:r>
    </w:p>
    <w:p w:rsidR="00E502BC" w:rsidRDefault="00132F77">
      <w:pPr>
        <w:pStyle w:val="Naslov8"/>
        <w:jc w:val="left"/>
      </w:pPr>
      <w:r>
        <w:t>Opis provedbe cilja programa</w:t>
      </w:r>
    </w:p>
    <w:p w:rsidR="00E502BC" w:rsidRDefault="00132F77">
      <w:r>
        <w:t>Strateškim planom Državnog izbornog povjerenstva Republike Hrvatske za razdob</w:t>
      </w:r>
      <w:r>
        <w:t xml:space="preserve">lje 2025.-2027. (dalje: Strateški plan), utvrđena je aktivnost koja je realizirana tijekom 2025. – edukacije izbornih tijela, tijela koja provode referendume i birača. </w:t>
      </w:r>
    </w:p>
    <w:p w:rsidR="00E502BC" w:rsidRDefault="00132F77">
      <w:r>
        <w:t>Od 2024., Državno izborno povjerenstvo nastoji provoditi edukacije članova izbornih tij</w:t>
      </w:r>
      <w:r>
        <w:t xml:space="preserve">ela „u živo“. Usporedo s edukacijama „u živo“, uz stručnu i tehničku pomoć ovlaštenih osoba CARNET-a, snimani su i webinari koji su dodatno edukacijsko sredstvo namijenjeno članovima izbornih tijela, primarno biračkim odborima. </w:t>
      </w:r>
    </w:p>
    <w:p w:rsidR="00E502BC" w:rsidRDefault="00132F77">
      <w:r>
        <w:t>U cilju pravovremene pripre</w:t>
      </w:r>
      <w:r>
        <w:t>me provedbe lokalnih izbora, Državno izborno povjerenstvo je u razdoblju od 25. do 26. ožujka 2025. te 27. svibnja 2025. održalo online edukacije predstavnicima županijskih izbornih povjerenstava, Izbornog povjerenstva Grada Zagreba te gradskih i općinskih</w:t>
      </w:r>
      <w:r>
        <w:t xml:space="preserve"> izbornih povjerenstava. Cilj edukacija bio je upoznati dionike s njihovim ulogama u provedbi lokalnih izbora te im dati jasne smjernice vezane uz organizaciju i provedbu navedenih izbora. </w:t>
      </w:r>
    </w:p>
    <w:p w:rsidR="00E502BC" w:rsidRDefault="00132F77">
      <w:r>
        <w:t>U pogledu edukacije birača, a u okviru pripreme i provedbe lokalni</w:t>
      </w:r>
      <w:r>
        <w:t xml:space="preserve">h i dopunskih izbora na mrežnoj stranici Državnog izbornog povjerenstva objavljena su priopćenja odnosno obavijesti te pregled najčešćih pitanja i odgovora u svrhu informiranja birača o navedenim izborima.  </w:t>
      </w:r>
    </w:p>
    <w:p w:rsidR="00E502BC" w:rsidRDefault="00132F77">
      <w:r>
        <w:t>Novina u edukaciji birača na izborima održanim t</w:t>
      </w:r>
      <w:r>
        <w:t xml:space="preserve">ijekom 2025., u odnosu na prijašnje istovrsne izbore su kratki webinari, u kojima se birače upoznaje s biračkim pravom, načinom glasovanja i izborima općenito vezano uz lokalne i dopunske izbore. </w:t>
      </w:r>
    </w:p>
    <w:p w:rsidR="00E502BC" w:rsidRDefault="00132F77">
      <w:r>
        <w:t>Osim webinara, Državno izborno povjerenstvo je u suradnji s</w:t>
      </w:r>
      <w:r>
        <w:t xml:space="preserve"> Hrvatskom radiotelevizijom snimilo kratki promidžbeni spot na temu lokalnih izbora kako bi se birače i na ovaj način osvijestilo o svim vrstama izbora koje se provode tijekom 2025. </w:t>
      </w:r>
    </w:p>
    <w:p w:rsidR="00E502BC" w:rsidRDefault="00132F77">
      <w:r>
        <w:t>Kako bi se o izborima educiralo i informiralo birače s invaliditetom, Drž</w:t>
      </w:r>
      <w:r>
        <w:t>avno izborno povjerenstvo je ostvarilo uspješnu suradnju s Hrvatskim savezom gluhih i nagluhih te Hrvatskim savezom slijepih. Za gluhe i nagluhe birače webinari vezani uz lokalne izbore prilagođeni su i snimljeni s titlovima i sa znakovnim jezikom. Takvi w</w:t>
      </w:r>
      <w:r>
        <w:t xml:space="preserve">ebinari objavljeni su na mrežnoj stranici Povjerenstva, ali i Hrvatskog saveza gluhih i nagluhih kako bi bili što pristupačniji ciljanoj skupini birača.  </w:t>
      </w:r>
    </w:p>
    <w:p w:rsidR="00E502BC" w:rsidRDefault="00132F77">
      <w:r>
        <w:lastRenderedPageBreak/>
        <w:t>Državno izborno povjerenstvo je i tijekom 2025., uz suglasnost Ministarstva znanosti, obrazovanja i m</w:t>
      </w:r>
      <w:r>
        <w:t xml:space="preserve">ladih, nastavilo s provedbom projekta edukacije mladih birača pod nazivom „I moj glas je bitan!“, koji je započet još 2018. Educirani su učenici završnih razreda srednjih škola na način da ih se informiralo o načinu ostvarenja aktivnog i pasivnog biračkog </w:t>
      </w:r>
      <w:r>
        <w:t xml:space="preserve">prava. Kako bi se edukacija približila što većem broju mladih birača, na mrežnim stranicama Državnog izbornog povjerenstva objavljen je webinar, kojeg škole mogu koristiti u svrhu obrade vezanih nastavnih sadržaja, ali i svaki zainteresirani mladi birač u </w:t>
      </w:r>
      <w:r>
        <w:t>svrhu informiranja o izborima i svom biračkom pravu. U školskoj godini 2024./2025. održano je 27 edukacija učenika u trajanju jednog školskog sata, i to u 19 srednjih škola različitih usmjerenja, na području 11 gradova u 8 županija i Gradu Zagrebu te je ed</w:t>
      </w:r>
      <w:r>
        <w:t>uciran 1.201 učenik</w:t>
      </w:r>
    </w:p>
    <w:p w:rsidR="00E502BC" w:rsidRDefault="00132F77">
      <w:pPr>
        <w:pStyle w:val="Naslov8"/>
        <w:jc w:val="left"/>
      </w:pPr>
      <w:r>
        <w:t>Cilj 2. Učinkovit i transparentan nadzor financiranja političkih aktivnosti, izborne promidžbe i referendumske aktivnosti</w:t>
      </w:r>
    </w:p>
    <w:p w:rsidR="00E502BC" w:rsidRDefault="00132F77">
      <w:pPr>
        <w:pStyle w:val="Naslov8"/>
        <w:jc w:val="left"/>
      </w:pPr>
      <w:r>
        <w:t>Opis provedbe cilja programa</w:t>
      </w:r>
    </w:p>
    <w:p w:rsidR="00E502BC" w:rsidRDefault="00132F77">
      <w:r>
        <w:t>Strateškim planom utvrđene su aktivnosti koje su u cijelosti realizirane tijekom 2025</w:t>
      </w:r>
      <w:r>
        <w:t>. – na mrežnoj stranici Državnog izbornog povjerenstva objavljene su on-line edukacije namijenjene subjektima nad kojima Državno izborno povjerenstvo provodi nadzor redovnog financiranja, te on-line edukacije namjenjene subjektima nad kojima Državno izborn</w:t>
      </w:r>
      <w:r>
        <w:t xml:space="preserve">o povjerenstvo provodi nadzor financiranja izborne promidžbe kao i on-line edukacije namijenjene sudionicima referendumske aktivnosti.   </w:t>
      </w:r>
    </w:p>
    <w:p w:rsidR="00E502BC" w:rsidRDefault="00132F77">
      <w:r>
        <w:t xml:space="preserve">Pored navedenog, na mrežnoj stranici Državnog izbornog povjerenstva objavljeni su webinari za edukaciju subjekata nad </w:t>
      </w:r>
      <w:r>
        <w:t>kojima Državno izborno povjerenstvo provodi redovni nadzor financiranja te webinari za edukaciju subjekata nad kojima Državno izborno povjerenstvo provodi nadzor financiranja izborne promidžbe.</w:t>
      </w:r>
    </w:p>
    <w:p w:rsidR="00E502BC" w:rsidRDefault="00132F77">
      <w:pPr>
        <w:pStyle w:val="Naslov8"/>
        <w:jc w:val="left"/>
      </w:pPr>
      <w:r>
        <w:t>Cilj 3. Jedinstvena informatička podrška s transparentno i pra</w:t>
      </w:r>
      <w:r>
        <w:t>vovremeno javno objavljenim podacima o provedenim izborima</w:t>
      </w:r>
    </w:p>
    <w:p w:rsidR="00E502BC" w:rsidRDefault="00132F77">
      <w:pPr>
        <w:pStyle w:val="Naslov8"/>
        <w:jc w:val="left"/>
      </w:pPr>
      <w:r>
        <w:t>Opis provedbe cilja programa</w:t>
      </w:r>
    </w:p>
    <w:p w:rsidR="00E502BC" w:rsidRDefault="00132F77">
      <w:r>
        <w:t>Strateškim planom utvrđena je aktivnost koja je u cijelosti realizirana tijekom 2025. – zaključeni su ugovori o pružanju informatičke podrške na lokalnim izborima, dopunskim izborima te ugovor o pružanju informatičke podrške prijevremenim lokalnim izborima</w:t>
      </w:r>
      <w:r>
        <w:t>.</w:t>
      </w:r>
    </w:p>
    <w:p w:rsidR="00E502BC" w:rsidRDefault="00132F77">
      <w:pPr>
        <w:pStyle w:val="Naslov8"/>
        <w:jc w:val="left"/>
      </w:pPr>
      <w:r>
        <w:t>Pokazatelji učinka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502BC">
        <w:trPr>
          <w:jc w:val="center"/>
        </w:trPr>
        <w:tc>
          <w:tcPr>
            <w:tcW w:w="2551" w:type="dxa"/>
            <w:shd w:val="clear" w:color="auto" w:fill="B5C0D8"/>
          </w:tcPr>
          <w:p w:rsidR="00E502BC" w:rsidRDefault="00132F77">
            <w:pPr>
              <w:jc w:val="center"/>
            </w:pPr>
            <w:r>
              <w:t>Pokazatelj učinka</w:t>
            </w:r>
          </w:p>
        </w:tc>
        <w:tc>
          <w:tcPr>
            <w:tcW w:w="2551" w:type="dxa"/>
            <w:shd w:val="clear" w:color="auto" w:fill="B5C0D8"/>
          </w:tcPr>
          <w:p w:rsidR="00E502BC" w:rsidRDefault="00132F77">
            <w:pPr>
              <w:pStyle w:val="CellHeader"/>
              <w:jc w:val="center"/>
            </w:pPr>
            <w:r>
              <w:rPr>
                <w:rFonts w:cs="Times New Roman"/>
              </w:rPr>
              <w:t>Definicija</w:t>
            </w:r>
          </w:p>
        </w:tc>
        <w:tc>
          <w:tcPr>
            <w:tcW w:w="1020" w:type="dxa"/>
            <w:shd w:val="clear" w:color="auto" w:fill="B5C0D8"/>
          </w:tcPr>
          <w:p w:rsidR="00E502BC" w:rsidRDefault="00132F77">
            <w:pPr>
              <w:pStyle w:val="CellHeader"/>
              <w:jc w:val="center"/>
            </w:pPr>
            <w:r>
              <w:rPr>
                <w:rFonts w:cs="Times New Roman"/>
              </w:rPr>
              <w:t>Jedinica</w:t>
            </w:r>
          </w:p>
        </w:tc>
        <w:tc>
          <w:tcPr>
            <w:tcW w:w="1020" w:type="dxa"/>
            <w:shd w:val="clear" w:color="auto" w:fill="B5C0D8"/>
          </w:tcPr>
          <w:p w:rsidR="00E502BC" w:rsidRDefault="00132F77">
            <w:pPr>
              <w:pStyle w:val="CellHeader"/>
              <w:jc w:val="center"/>
            </w:pPr>
            <w:r>
              <w:rPr>
                <w:rFonts w:cs="Times New Roman"/>
              </w:rPr>
              <w:t>Polazna vrijednost</w:t>
            </w:r>
          </w:p>
        </w:tc>
        <w:tc>
          <w:tcPr>
            <w:tcW w:w="918" w:type="dxa"/>
            <w:shd w:val="clear" w:color="auto" w:fill="B5C0D8"/>
          </w:tcPr>
          <w:p w:rsidR="00E502BC" w:rsidRDefault="00132F77">
            <w:pPr>
              <w:pStyle w:val="CellHeader"/>
              <w:jc w:val="center"/>
            </w:pPr>
            <w:r>
              <w:rPr>
                <w:rFonts w:cs="Times New Roman"/>
              </w:rPr>
              <w:t>Izvor podataka</w:t>
            </w:r>
          </w:p>
        </w:tc>
        <w:tc>
          <w:tcPr>
            <w:tcW w:w="1020" w:type="dxa"/>
            <w:shd w:val="clear" w:color="auto" w:fill="B5C0D8"/>
          </w:tcPr>
          <w:p w:rsidR="00E502BC" w:rsidRDefault="00132F77">
            <w:pPr>
              <w:pStyle w:val="CellHeader"/>
              <w:jc w:val="center"/>
            </w:pPr>
            <w:r>
              <w:rPr>
                <w:rFonts w:cs="Times New Roman"/>
              </w:rPr>
              <w:t>Ciljana vrijednost (2025.)</w:t>
            </w:r>
          </w:p>
        </w:tc>
        <w:tc>
          <w:tcPr>
            <w:tcW w:w="1020" w:type="dxa"/>
            <w:shd w:val="clear" w:color="auto" w:fill="B5C0D8"/>
          </w:tcPr>
          <w:p w:rsidR="00E502BC" w:rsidRDefault="00132F77">
            <w:pPr>
              <w:pStyle w:val="CellHeader"/>
              <w:jc w:val="center"/>
            </w:pPr>
            <w:r>
              <w:rPr>
                <w:rFonts w:cs="Times New Roman"/>
              </w:rPr>
              <w:t>Ostvarena vrijednost (2025.)</w:t>
            </w:r>
          </w:p>
        </w:tc>
      </w:tr>
      <w:tr w:rsidR="00E502BC">
        <w:trPr>
          <w:jc w:val="center"/>
        </w:trPr>
        <w:tc>
          <w:tcPr>
            <w:tcW w:w="2551" w:type="dxa"/>
          </w:tcPr>
          <w:p w:rsidR="00E502BC" w:rsidRDefault="00132F77">
            <w:pPr>
              <w:pStyle w:val="CellColumn"/>
              <w:jc w:val="left"/>
            </w:pPr>
            <w:r>
              <w:rPr>
                <w:rFonts w:cs="Times New Roman"/>
              </w:rPr>
              <w:t>Postupanje članova izbornih tijela sukladno izbornom zakonu i obvezatnim uputama Državnog izbornog povjere</w:t>
            </w:r>
            <w:r>
              <w:rPr>
                <w:rFonts w:cs="Times New Roman"/>
              </w:rPr>
              <w:t>nstva i ostvarivanje aktivnog i pasivnog biračkog prava od strane mladih birača</w:t>
            </w:r>
          </w:p>
        </w:tc>
        <w:tc>
          <w:tcPr>
            <w:tcW w:w="2551" w:type="dxa"/>
          </w:tcPr>
          <w:p w:rsidR="00E502BC" w:rsidRDefault="00132F77">
            <w:pPr>
              <w:pStyle w:val="CellColumn"/>
              <w:jc w:val="left"/>
            </w:pPr>
            <w:r>
              <w:rPr>
                <w:rFonts w:cs="Times New Roman"/>
              </w:rPr>
              <w:t>Članovi izbornih tijela, tijela koja provode referendume i mladi birači educirani kroz webinare i podsjetnike</w:t>
            </w:r>
          </w:p>
        </w:tc>
        <w:tc>
          <w:tcPr>
            <w:tcW w:w="1020" w:type="dxa"/>
          </w:tcPr>
          <w:p w:rsidR="00E502BC" w:rsidRDefault="00132F77">
            <w:pPr>
              <w:pStyle w:val="CellColumn"/>
              <w:jc w:val="right"/>
            </w:pPr>
            <w:r>
              <w:rPr>
                <w:rFonts w:cs="Times New Roman"/>
              </w:rPr>
              <w:t>Postotak educiranih članova izbornih tijela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Pregled rada za prethodnu godinu</w:t>
            </w:r>
          </w:p>
        </w:tc>
        <w:tc>
          <w:tcPr>
            <w:tcW w:w="1020" w:type="dxa"/>
          </w:tcPr>
          <w:p w:rsidR="00E502BC" w:rsidRDefault="00132F77">
            <w:pPr>
              <w:pStyle w:val="CellColumn"/>
              <w:jc w:val="right"/>
            </w:pPr>
            <w:r>
              <w:rPr>
                <w:rFonts w:cs="Times New Roman"/>
              </w:rPr>
              <w:t>80%</w:t>
            </w:r>
          </w:p>
        </w:tc>
        <w:tc>
          <w:tcPr>
            <w:tcW w:w="1020" w:type="dxa"/>
          </w:tcPr>
          <w:p w:rsidR="00E502BC" w:rsidRDefault="00132F77">
            <w:pPr>
              <w:pStyle w:val="CellColumn"/>
              <w:jc w:val="right"/>
            </w:pPr>
            <w:r>
              <w:rPr>
                <w:rFonts w:cs="Times New Roman"/>
              </w:rPr>
              <w:t>80%</w:t>
            </w:r>
          </w:p>
        </w:tc>
      </w:tr>
      <w:tr w:rsidR="00E502BC">
        <w:trPr>
          <w:jc w:val="center"/>
        </w:trPr>
        <w:tc>
          <w:tcPr>
            <w:tcW w:w="2551" w:type="dxa"/>
          </w:tcPr>
          <w:p w:rsidR="00E502BC" w:rsidRDefault="00132F77">
            <w:pPr>
              <w:pStyle w:val="CellColumn"/>
              <w:jc w:val="left"/>
            </w:pPr>
            <w:r>
              <w:rPr>
                <w:rFonts w:cs="Times New Roman"/>
              </w:rPr>
              <w:t>Smanjenje broja povreda zakona od strane subjekata nad kojima Državno izborno povjerenstvo provodi redovni nadzor financiranja, nadzor financiranja izborne promidžbe i nadzor financiranja referenduma</w:t>
            </w:r>
          </w:p>
        </w:tc>
        <w:tc>
          <w:tcPr>
            <w:tcW w:w="2551" w:type="dxa"/>
          </w:tcPr>
          <w:p w:rsidR="00E502BC" w:rsidRDefault="00132F77">
            <w:pPr>
              <w:pStyle w:val="CellColumn"/>
              <w:jc w:val="left"/>
            </w:pPr>
            <w:r>
              <w:rPr>
                <w:rFonts w:cs="Times New Roman"/>
              </w:rPr>
              <w:t>Subjekti nad k</w:t>
            </w:r>
            <w:r>
              <w:rPr>
                <w:rFonts w:cs="Times New Roman"/>
              </w:rPr>
              <w:t>ojima se provodi redovni nadzor financiranja, nadzor financiranja izborne promižbe i nadzor financiranja referenduma, educirani kroz on-line edukacije i webinare</w:t>
            </w:r>
          </w:p>
        </w:tc>
        <w:tc>
          <w:tcPr>
            <w:tcW w:w="1020" w:type="dxa"/>
          </w:tcPr>
          <w:p w:rsidR="00E502BC" w:rsidRDefault="00132F77">
            <w:pPr>
              <w:pStyle w:val="CellColumn"/>
              <w:jc w:val="right"/>
            </w:pPr>
            <w:r>
              <w:rPr>
                <w:rFonts w:cs="Times New Roman"/>
              </w:rPr>
              <w:t>Postotak educiranih subjekata nadzora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Pregled rada za prethodnu godinu</w:t>
            </w:r>
          </w:p>
        </w:tc>
        <w:tc>
          <w:tcPr>
            <w:tcW w:w="1020" w:type="dxa"/>
          </w:tcPr>
          <w:p w:rsidR="00E502BC" w:rsidRDefault="00132F77">
            <w:pPr>
              <w:pStyle w:val="CellColumn"/>
              <w:jc w:val="right"/>
            </w:pPr>
            <w:r>
              <w:rPr>
                <w:rFonts w:cs="Times New Roman"/>
              </w:rPr>
              <w:t>60%</w:t>
            </w:r>
          </w:p>
        </w:tc>
        <w:tc>
          <w:tcPr>
            <w:tcW w:w="1020" w:type="dxa"/>
          </w:tcPr>
          <w:p w:rsidR="00E502BC" w:rsidRDefault="00132F77">
            <w:pPr>
              <w:pStyle w:val="CellColumn"/>
              <w:jc w:val="right"/>
            </w:pPr>
            <w:r>
              <w:rPr>
                <w:rFonts w:cs="Times New Roman"/>
              </w:rPr>
              <w:t>60%</w:t>
            </w:r>
          </w:p>
        </w:tc>
      </w:tr>
      <w:tr w:rsidR="00E502BC">
        <w:trPr>
          <w:jc w:val="center"/>
        </w:trPr>
        <w:tc>
          <w:tcPr>
            <w:tcW w:w="2551" w:type="dxa"/>
          </w:tcPr>
          <w:p w:rsidR="00E502BC" w:rsidRDefault="00132F77">
            <w:pPr>
              <w:pStyle w:val="CellColumn"/>
              <w:jc w:val="left"/>
            </w:pPr>
            <w:r>
              <w:rPr>
                <w:rFonts w:cs="Times New Roman"/>
              </w:rPr>
              <w:t>Broj zaključenih ugovora o pružanju jedinstvene informatičke podrške izborima</w:t>
            </w:r>
          </w:p>
        </w:tc>
        <w:tc>
          <w:tcPr>
            <w:tcW w:w="2551" w:type="dxa"/>
          </w:tcPr>
          <w:p w:rsidR="00E502BC" w:rsidRDefault="00132F77">
            <w:pPr>
              <w:pStyle w:val="CellColumn"/>
              <w:jc w:val="left"/>
            </w:pPr>
            <w:r>
              <w:rPr>
                <w:rFonts w:cs="Times New Roman"/>
              </w:rPr>
              <w:t>Ugovorom regulirana jedinstvena informatička podrška</w:t>
            </w:r>
          </w:p>
        </w:tc>
        <w:tc>
          <w:tcPr>
            <w:tcW w:w="1020" w:type="dxa"/>
          </w:tcPr>
          <w:p w:rsidR="00E502BC" w:rsidRDefault="00132F77">
            <w:pPr>
              <w:pStyle w:val="CellColumn"/>
              <w:jc w:val="right"/>
            </w:pPr>
            <w:r>
              <w:rPr>
                <w:rFonts w:cs="Times New Roman"/>
              </w:rPr>
              <w:t>Broj ugovora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Pregled rada za prethodnu godinu</w:t>
            </w:r>
          </w:p>
        </w:tc>
        <w:tc>
          <w:tcPr>
            <w:tcW w:w="1020" w:type="dxa"/>
          </w:tcPr>
          <w:p w:rsidR="00E502BC" w:rsidRDefault="00132F77">
            <w:pPr>
              <w:pStyle w:val="CellColumn"/>
              <w:jc w:val="right"/>
            </w:pPr>
            <w:r>
              <w:rPr>
                <w:rFonts w:cs="Times New Roman"/>
              </w:rPr>
              <w:t>3</w:t>
            </w:r>
          </w:p>
        </w:tc>
        <w:tc>
          <w:tcPr>
            <w:tcW w:w="1020" w:type="dxa"/>
          </w:tcPr>
          <w:p w:rsidR="00E502BC" w:rsidRDefault="00132F77">
            <w:pPr>
              <w:pStyle w:val="CellColumn"/>
              <w:jc w:val="right"/>
            </w:pPr>
            <w:r>
              <w:rPr>
                <w:rFonts w:cs="Times New Roman"/>
              </w:rPr>
              <w:t>3</w:t>
            </w:r>
          </w:p>
        </w:tc>
      </w:tr>
    </w:tbl>
    <w:p w:rsidR="00E502BC" w:rsidRDefault="00E502BC">
      <w:pPr>
        <w:jc w:val="left"/>
      </w:pPr>
    </w:p>
    <w:p w:rsidR="00E502BC" w:rsidRDefault="00132F77">
      <w:pPr>
        <w:pStyle w:val="Naslov4"/>
      </w:pPr>
      <w:r>
        <w:t>A896001 PROVEDBA IZBORA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502BC">
        <w:trPr>
          <w:jc w:val="center"/>
        </w:trPr>
        <w:tc>
          <w:tcPr>
            <w:tcW w:w="1632" w:type="dxa"/>
            <w:shd w:val="clear" w:color="auto" w:fill="B5C0D8"/>
          </w:tcPr>
          <w:p w:rsidR="00E502BC" w:rsidRDefault="00132F77">
            <w:pPr>
              <w:pStyle w:val="CellHeader"/>
              <w:jc w:val="center"/>
            </w:pPr>
            <w:r>
              <w:rPr>
                <w:rFonts w:cs="Times New Roman"/>
              </w:rPr>
              <w:t>Naziv aktivnosti</w:t>
            </w:r>
          </w:p>
        </w:tc>
        <w:tc>
          <w:tcPr>
            <w:tcW w:w="2041" w:type="dxa"/>
            <w:shd w:val="clear" w:color="auto" w:fill="B5C0D8"/>
          </w:tcPr>
          <w:p w:rsidR="00E502BC" w:rsidRDefault="00132F77">
            <w:pPr>
              <w:pStyle w:val="CellHeader"/>
              <w:jc w:val="center"/>
            </w:pPr>
            <w:r>
              <w:rPr>
                <w:rFonts w:cs="Times New Roman"/>
              </w:rPr>
              <w:t>Izvršenje 2024. (eur)</w:t>
            </w:r>
          </w:p>
        </w:tc>
        <w:tc>
          <w:tcPr>
            <w:tcW w:w="2041" w:type="dxa"/>
            <w:shd w:val="clear" w:color="auto" w:fill="B5C0D8"/>
          </w:tcPr>
          <w:p w:rsidR="00E502BC" w:rsidRDefault="00132F77">
            <w:pPr>
              <w:pStyle w:val="CellHeader"/>
              <w:jc w:val="center"/>
            </w:pPr>
            <w:r>
              <w:rPr>
                <w:rFonts w:cs="Times New Roman"/>
              </w:rPr>
              <w:t>Plan 2025. (eur)</w:t>
            </w:r>
          </w:p>
        </w:tc>
        <w:tc>
          <w:tcPr>
            <w:tcW w:w="2041" w:type="dxa"/>
            <w:shd w:val="clear" w:color="auto" w:fill="B5C0D8"/>
          </w:tcPr>
          <w:p w:rsidR="00E502BC" w:rsidRDefault="00132F77">
            <w:pPr>
              <w:pStyle w:val="CellHeader"/>
              <w:jc w:val="center"/>
            </w:pPr>
            <w:r>
              <w:rPr>
                <w:rFonts w:cs="Times New Roman"/>
              </w:rPr>
              <w:t>Izvršenje 2025. (eur)</w:t>
            </w:r>
          </w:p>
        </w:tc>
        <w:tc>
          <w:tcPr>
            <w:tcW w:w="1224" w:type="dxa"/>
            <w:shd w:val="clear" w:color="auto" w:fill="B5C0D8"/>
          </w:tcPr>
          <w:p w:rsidR="00E502BC" w:rsidRDefault="00132F77">
            <w:pPr>
              <w:pStyle w:val="CellHeader"/>
              <w:jc w:val="center"/>
            </w:pPr>
            <w:r>
              <w:rPr>
                <w:rFonts w:cs="Times New Roman"/>
              </w:rPr>
              <w:t>Indeks izvršenje 2025./plan 2025.</w:t>
            </w:r>
          </w:p>
        </w:tc>
        <w:tc>
          <w:tcPr>
            <w:tcW w:w="1224" w:type="dxa"/>
            <w:shd w:val="clear" w:color="auto" w:fill="B5C0D8"/>
          </w:tcPr>
          <w:p w:rsidR="00E502BC" w:rsidRDefault="00132F77">
            <w:pPr>
              <w:pStyle w:val="CellHeader"/>
              <w:jc w:val="center"/>
            </w:pPr>
            <w:r>
              <w:rPr>
                <w:rFonts w:cs="Times New Roman"/>
              </w:rPr>
              <w:t>Indeks izvršenje 2025./2024.</w:t>
            </w:r>
          </w:p>
        </w:tc>
      </w:tr>
      <w:tr w:rsidR="00E502BC">
        <w:trPr>
          <w:jc w:val="center"/>
        </w:trPr>
        <w:tc>
          <w:tcPr>
            <w:tcW w:w="1632" w:type="dxa"/>
          </w:tcPr>
          <w:p w:rsidR="00E502BC" w:rsidRDefault="00132F77">
            <w:pPr>
              <w:pStyle w:val="CellColumn"/>
              <w:jc w:val="left"/>
            </w:pPr>
            <w:r>
              <w:rPr>
                <w:rFonts w:cs="Times New Roman"/>
              </w:rPr>
              <w:t>A896001-PROVEDBA IZBORA</w:t>
            </w:r>
          </w:p>
        </w:tc>
        <w:tc>
          <w:tcPr>
            <w:tcW w:w="2041" w:type="dxa"/>
          </w:tcPr>
          <w:p w:rsidR="00E502BC" w:rsidRDefault="00132F77">
            <w:pPr>
              <w:pStyle w:val="CellColumn"/>
              <w:jc w:val="right"/>
            </w:pPr>
            <w:r>
              <w:rPr>
                <w:rFonts w:cs="Times New Roman"/>
              </w:rPr>
              <w:t>29.618.230</w:t>
            </w:r>
          </w:p>
        </w:tc>
        <w:tc>
          <w:tcPr>
            <w:tcW w:w="2041" w:type="dxa"/>
          </w:tcPr>
          <w:p w:rsidR="00E502BC" w:rsidRDefault="00132F77">
            <w:pPr>
              <w:pStyle w:val="CellColumn"/>
              <w:jc w:val="right"/>
            </w:pPr>
            <w:r>
              <w:rPr>
                <w:rFonts w:cs="Times New Roman"/>
              </w:rPr>
              <w:t>11.974.722</w:t>
            </w:r>
          </w:p>
        </w:tc>
        <w:tc>
          <w:tcPr>
            <w:tcW w:w="2041" w:type="dxa"/>
          </w:tcPr>
          <w:p w:rsidR="00E502BC" w:rsidRDefault="00132F77">
            <w:pPr>
              <w:pStyle w:val="CellColumn"/>
              <w:jc w:val="right"/>
            </w:pPr>
            <w:r>
              <w:rPr>
                <w:rFonts w:cs="Times New Roman"/>
              </w:rPr>
              <w:t>11.831.084</w:t>
            </w:r>
          </w:p>
        </w:tc>
        <w:tc>
          <w:tcPr>
            <w:tcW w:w="1224" w:type="dxa"/>
          </w:tcPr>
          <w:p w:rsidR="00E502BC" w:rsidRDefault="00132F77">
            <w:pPr>
              <w:pStyle w:val="CellColumn"/>
              <w:jc w:val="right"/>
            </w:pPr>
            <w:r>
              <w:rPr>
                <w:rFonts w:cs="Times New Roman"/>
              </w:rPr>
              <w:t>98,8</w:t>
            </w:r>
          </w:p>
        </w:tc>
        <w:tc>
          <w:tcPr>
            <w:tcW w:w="1224" w:type="dxa"/>
          </w:tcPr>
          <w:p w:rsidR="00E502BC" w:rsidRDefault="00132F77">
            <w:pPr>
              <w:pStyle w:val="CellColumn"/>
              <w:jc w:val="right"/>
            </w:pPr>
            <w:r>
              <w:rPr>
                <w:rFonts w:cs="Times New Roman"/>
              </w:rPr>
              <w:t>39,9</w:t>
            </w:r>
          </w:p>
        </w:tc>
      </w:tr>
    </w:tbl>
    <w:p w:rsidR="00E502BC" w:rsidRDefault="00E502BC">
      <w:pPr>
        <w:jc w:val="left"/>
      </w:pPr>
    </w:p>
    <w:p w:rsidR="00E502BC" w:rsidRDefault="00132F77">
      <w:pPr>
        <w:pStyle w:val="Naslov8"/>
        <w:jc w:val="left"/>
      </w:pPr>
      <w:r>
        <w:t>Zakonske i druge pravne osnove</w:t>
      </w:r>
    </w:p>
    <w:p w:rsidR="00E502BC" w:rsidRDefault="00132F77">
      <w:r>
        <w:t xml:space="preserve">Zakon o izboru predsjednika Republike Hrvatske – čl. 42. st. 1. i 2.   </w:t>
      </w:r>
    </w:p>
    <w:p w:rsidR="00E502BC" w:rsidRDefault="00132F77">
      <w:r>
        <w:t xml:space="preserve">Zakon o lokalnim izborima – čl. 126. st. 2. u svezi čl. 26. st. 2., čl. 86. st. 3. i čl. 102. st. 3.   </w:t>
      </w:r>
    </w:p>
    <w:p w:rsidR="00E502BC" w:rsidRDefault="00132F77">
      <w:r>
        <w:t>Zakon o financiranju političkih aktivnosti, izborne promidžbe i referenduma</w:t>
      </w:r>
    </w:p>
    <w:p w:rsidR="00E502BC" w:rsidRDefault="00132F77">
      <w:pPr>
        <w:pStyle w:val="Naslov8"/>
        <w:jc w:val="left"/>
      </w:pPr>
      <w:r>
        <w:t>Opis</w:t>
      </w:r>
      <w:r>
        <w:t xml:space="preserve"> aktivnosti</w:t>
      </w:r>
    </w:p>
    <w:p w:rsidR="00E502BC" w:rsidRDefault="00132F77">
      <w:r>
        <w:t>Tijekom 2025. održan je drugi krug izbora za predsjednika Republike Hrvatske, redovni lokalni izbori, dopunski izbori kao i prijevremeni lokalni izbori. Na aktivnosti A896001 Provedba izbora utrošeno je 11.831.083,57 eura, što iznosi 98,8% od p</w:t>
      </w:r>
      <w:r>
        <w:t xml:space="preserve">lana za 2025.  </w:t>
      </w:r>
    </w:p>
    <w:p w:rsidR="00E502BC" w:rsidRDefault="00132F77">
      <w:r>
        <w:t>U prvobitnom planu su sredstva na ovoj aktivnosti u odnosu na konačni plan 2025. planirana u većem iznosu zbog općeg porasta cijena roba te najavljenog povećanja cijena tiska glasačkog materijala od strane državne tiskare (glasački listići,</w:t>
      </w:r>
      <w:r>
        <w:t xml:space="preserve"> kutije, zapisnici i sl.) Izmjenama i dopunama državnog proračuna iz listopada 2025. i temeljem zahtjeva za dodatnim uštedama ta su sredstva preraspodijeljena drugim korisnicima državnog proračuna. </w:t>
      </w:r>
    </w:p>
    <w:p w:rsidR="00E502BC" w:rsidRDefault="00132F77">
      <w:r>
        <w:t>Najznačajni troškovi na aktivnosti Provedba izbora odnose</w:t>
      </w:r>
      <w:r>
        <w:t xml:space="preserve"> se na tekuće pomoći untar općeg proračuna u iznosu od 7.668.499,51 eura (64,8%) te rashode za računalne usluge u iznosu od 3.212.497,96 eura (27,4%). Pomoći dane u inozemstvo i unutar općeg proračuna odnose se na pomoći dane unutar općeg proračuna – župan</w:t>
      </w:r>
      <w:r>
        <w:t>ijskim proračunima za pokriće troškova provedbe drugog kruga izbora za predsjednika Republike Hrvatske za isplatu naknada za rad u gradskim i općinskim izbornim povjerenstvima, naknade za rad u biračkim odborima, naknade za rad osobama angažiranim za rad u</w:t>
      </w:r>
      <w:r>
        <w:t xml:space="preserve"> stručnim timovima, te za materijalne troškove provedbe izbora na biračkim mjestima u Republici Hrvatskoj. Računalne usluge odnose se na troškove jedinstvene informatičke podrške provedbi izbora. </w:t>
      </w:r>
    </w:p>
    <w:p w:rsidR="00E502BC" w:rsidRDefault="00132F77">
      <w:r>
        <w:t>Troškovi provedbe drugog kruga izbora za predsjednika Repub</w:t>
      </w:r>
      <w:r>
        <w:t>like Hrvatske iznosili su 9.873.019,19 eura odnosno približno 83,4 % od ukupnog iznosa izvršenja za aktivnost Provedba izbora. Najveći dio troškova odnosi se na pomoći dane unutar općeg proračuna – županijskim proračunima za isplatu naknada za rad članovim</w:t>
      </w:r>
      <w:r>
        <w:t>a biračkih odbora, naknada za rad članovima gradskih i općinskih izbornih povjerenstava, osobama angažiranim za rad u stručnim timovima izbornih povjerenstava, za materijalne troškove provedbe izbora na biračkim mjestima u Republici Hrvatskoj u iznosu od 7</w:t>
      </w:r>
      <w:r>
        <w:t>.668.499,51 eura, troškove tiska izbornog materijala (glasačkih listića, kutija, zapisnika i sl.) u iznosu od 255.177,59 eura, ostale rashode – tekuće donacije u novcu u ukupnom iznosu od 221.067,75 eura koji se odnose na obvezu temeljem Odluke o visini na</w:t>
      </w:r>
      <w:r>
        <w:t xml:space="preserve">knade troškova izborne promidžbe za izbor predsjednika Republike Hrvatske te  trošak jedinstvene informatičke podrške za provedbu oba kruga izbora za predsjednika Republike Hrvatske u iznosu od 1.376.601,50 eura. U 2025. naknada troškova izborne promidžbe </w:t>
      </w:r>
      <w:r>
        <w:t xml:space="preserve">isplaćena je za dva kandidata. </w:t>
      </w:r>
    </w:p>
    <w:p w:rsidR="00E502BC" w:rsidRDefault="00132F77">
      <w:r>
        <w:t>Troškovi vezani uz provedbu redovnih lokalnih izbora iznosili su 1.626.556,52 eura, a odnose se na troškove jedinstvene informatičke podrške izborima te naknadu za rad informatičkim koordinatorima. Ovi troškovi terete prorač</w:t>
      </w:r>
      <w:r>
        <w:t xml:space="preserve">un Državnog izbornog povjerenstva dok se ostala sredstva za pokriće troškova redovnih lokalnih izbora osiguravaju u proračunima svake pojedine jedinice lokalne i područne (regionalne) samouprave. </w:t>
      </w:r>
    </w:p>
    <w:p w:rsidR="00E502BC" w:rsidRDefault="00132F77">
      <w:r>
        <w:t>Troškovi vezani uz provedbu dopunskih izbora iznosili su 31</w:t>
      </w:r>
      <w:r>
        <w:t>4.028,97 eura a odnose se na jedinstvenu informatičku podršku izborima te naknadu za rad inform</w:t>
      </w:r>
      <w:bookmarkStart w:id="0" w:name="_GoBack"/>
      <w:bookmarkEnd w:id="0"/>
      <w:r>
        <w:t>atičkim koordinatorima. Ovi troškovi terete proračun Državnog izbornog povjerenstva dok se ostala sredstva za pokriće troškova dopunskih izbora osiguravaju u pro</w:t>
      </w:r>
      <w:r>
        <w:t xml:space="preserve">računima svake pojedine jedinice lokalne i područne (regionalne) samouprave. </w:t>
      </w:r>
    </w:p>
    <w:p w:rsidR="00E502BC" w:rsidRDefault="00132F77">
      <w:r>
        <w:t xml:space="preserve">Troškovi održanih prijevremenih lokalnih izbora tijekom 2025. iznosili su 8.211,41 eura, a u cijelosti se odnose na troškove jedinstvene informatičke podrške provedbi izbora. </w:t>
      </w:r>
    </w:p>
    <w:p w:rsidR="00E502BC" w:rsidRPr="00132F77" w:rsidRDefault="00132F77">
      <w:pPr>
        <w:rPr>
          <w:szCs w:val="22"/>
        </w:rPr>
      </w:pPr>
      <w:r w:rsidRPr="00132F77">
        <w:rPr>
          <w:szCs w:val="22"/>
        </w:rPr>
        <w:t xml:space="preserve">U </w:t>
      </w:r>
      <w:r w:rsidRPr="00132F77">
        <w:rPr>
          <w:szCs w:val="22"/>
        </w:rPr>
        <w:t>odnosu na izvršenje u istom izvještajnom razdoblju prethodne godine u 2025. je došlo do značajnog smanjenja. Do takvog znatnog odstupanja došlo je zbog održavanja većeg broja izbora na državnoj razini u 2024. i to: izbora zastupnika u Hrvatski sabor, izbor</w:t>
      </w:r>
      <w:r w:rsidRPr="00132F77">
        <w:rPr>
          <w:szCs w:val="22"/>
        </w:rPr>
        <w:t>a članova u Europski parlament iz Republike Hrvatske te izbora za predsjednika Republike Hrvatske (prvi krug), dok je u 2025. održan samo drugi krug izbora za predsjednika Republike Hrvatske. Sukladno zakonskim propisima sredstva za pokriće svih troškova o</w:t>
      </w:r>
      <w:r w:rsidRPr="00132F77">
        <w:rPr>
          <w:szCs w:val="22"/>
        </w:rPr>
        <w:t>državanja odnosno provedbe izbora na državnoj razini osiguravaju u državnom proračunu Republike Hrvatske na razdjelu Državnog izbornog povjerenstva Republike Hrvatske.</w:t>
      </w:r>
    </w:p>
    <w:p w:rsidR="00E502BC" w:rsidRDefault="00132F77">
      <w:pPr>
        <w:pStyle w:val="Naslov8"/>
        <w:jc w:val="left"/>
      </w:pPr>
      <w:r>
        <w:t>Pokazatelji rezultata</w:t>
      </w:r>
    </w:p>
    <w:tbl>
      <w:tblPr>
        <w:tblStyle w:val="StilTablice"/>
        <w:tblW w:w="10206" w:type="dxa"/>
        <w:jc w:val="center"/>
        <w:tblLook w:val="04A0" w:firstRow="1" w:lastRow="0" w:firstColumn="1" w:lastColumn="0" w:noHBand="0" w:noVBand="1"/>
      </w:tblPr>
      <w:tblGrid>
        <w:gridCol w:w="2268"/>
        <w:gridCol w:w="2085"/>
        <w:gridCol w:w="1770"/>
        <w:gridCol w:w="981"/>
        <w:gridCol w:w="1136"/>
        <w:gridCol w:w="981"/>
        <w:gridCol w:w="985"/>
      </w:tblGrid>
      <w:tr w:rsidR="00E502BC">
        <w:trPr>
          <w:jc w:val="center"/>
        </w:trPr>
        <w:tc>
          <w:tcPr>
            <w:tcW w:w="2551" w:type="dxa"/>
            <w:shd w:val="clear" w:color="auto" w:fill="B5C0D8"/>
          </w:tcPr>
          <w:p w:rsidR="00E502BC" w:rsidRDefault="00132F77">
            <w:pPr>
              <w:jc w:val="center"/>
            </w:pPr>
            <w:r>
              <w:t>Pokazatelj rezultata</w:t>
            </w:r>
          </w:p>
        </w:tc>
        <w:tc>
          <w:tcPr>
            <w:tcW w:w="2551" w:type="dxa"/>
            <w:shd w:val="clear" w:color="auto" w:fill="B5C0D8"/>
          </w:tcPr>
          <w:p w:rsidR="00E502BC" w:rsidRDefault="00132F77">
            <w:pPr>
              <w:pStyle w:val="CellHeader"/>
              <w:jc w:val="center"/>
            </w:pPr>
            <w:r>
              <w:rPr>
                <w:rFonts w:cs="Times New Roman"/>
              </w:rPr>
              <w:t>Definicija</w:t>
            </w:r>
          </w:p>
        </w:tc>
        <w:tc>
          <w:tcPr>
            <w:tcW w:w="1020" w:type="dxa"/>
            <w:shd w:val="clear" w:color="auto" w:fill="B5C0D8"/>
          </w:tcPr>
          <w:p w:rsidR="00E502BC" w:rsidRDefault="00132F77">
            <w:pPr>
              <w:pStyle w:val="CellHeader"/>
              <w:jc w:val="center"/>
            </w:pPr>
            <w:r>
              <w:rPr>
                <w:rFonts w:cs="Times New Roman"/>
              </w:rPr>
              <w:t>Jedinica</w:t>
            </w:r>
          </w:p>
        </w:tc>
        <w:tc>
          <w:tcPr>
            <w:tcW w:w="1020" w:type="dxa"/>
            <w:shd w:val="clear" w:color="auto" w:fill="B5C0D8"/>
          </w:tcPr>
          <w:p w:rsidR="00E502BC" w:rsidRDefault="00132F77">
            <w:pPr>
              <w:pStyle w:val="CellHeader"/>
              <w:jc w:val="center"/>
            </w:pPr>
            <w:r>
              <w:rPr>
                <w:rFonts w:cs="Times New Roman"/>
              </w:rPr>
              <w:t>Polazna vrijednost</w:t>
            </w:r>
          </w:p>
        </w:tc>
        <w:tc>
          <w:tcPr>
            <w:tcW w:w="1020" w:type="dxa"/>
            <w:shd w:val="clear" w:color="auto" w:fill="B5C0D8"/>
          </w:tcPr>
          <w:p w:rsidR="00E502BC" w:rsidRDefault="00132F77">
            <w:pPr>
              <w:pStyle w:val="CellHeader"/>
              <w:jc w:val="center"/>
            </w:pPr>
            <w:r>
              <w:rPr>
                <w:rFonts w:cs="Times New Roman"/>
              </w:rPr>
              <w:t>Izvor podataka</w:t>
            </w:r>
          </w:p>
        </w:tc>
        <w:tc>
          <w:tcPr>
            <w:tcW w:w="1020" w:type="dxa"/>
            <w:shd w:val="clear" w:color="auto" w:fill="B5C0D8"/>
          </w:tcPr>
          <w:p w:rsidR="00E502BC" w:rsidRDefault="00132F77">
            <w:pPr>
              <w:pStyle w:val="CellHeader"/>
              <w:jc w:val="center"/>
            </w:pPr>
            <w:r>
              <w:rPr>
                <w:rFonts w:cs="Times New Roman"/>
              </w:rPr>
              <w:t>Ciljana vrijednost (2025.)</w:t>
            </w:r>
          </w:p>
        </w:tc>
        <w:tc>
          <w:tcPr>
            <w:tcW w:w="1020" w:type="dxa"/>
            <w:shd w:val="clear" w:color="auto" w:fill="B5C0D8"/>
          </w:tcPr>
          <w:p w:rsidR="00E502BC" w:rsidRDefault="00132F77">
            <w:pPr>
              <w:pStyle w:val="CellHeader"/>
              <w:jc w:val="center"/>
            </w:pPr>
            <w:r>
              <w:rPr>
                <w:rFonts w:cs="Times New Roman"/>
              </w:rPr>
              <w:t>Ostvarena vrijednost (2025.)</w:t>
            </w:r>
          </w:p>
        </w:tc>
      </w:tr>
      <w:tr w:rsidR="00E502BC">
        <w:trPr>
          <w:jc w:val="center"/>
        </w:trPr>
        <w:tc>
          <w:tcPr>
            <w:tcW w:w="2551" w:type="dxa"/>
          </w:tcPr>
          <w:p w:rsidR="00E502BC" w:rsidRDefault="00132F77">
            <w:pPr>
              <w:pStyle w:val="CellColumn"/>
              <w:jc w:val="left"/>
            </w:pPr>
            <w:r>
              <w:rPr>
                <w:rFonts w:cs="Times New Roman"/>
              </w:rPr>
              <w:t>Broj provedenih edukacija članova nadležnih izbornih povjerenstava</w:t>
            </w:r>
          </w:p>
        </w:tc>
        <w:tc>
          <w:tcPr>
            <w:tcW w:w="2551" w:type="dxa"/>
          </w:tcPr>
          <w:p w:rsidR="00E502BC" w:rsidRDefault="00132F77">
            <w:pPr>
              <w:pStyle w:val="CellColumn"/>
              <w:jc w:val="left"/>
            </w:pPr>
            <w:r>
              <w:rPr>
                <w:rFonts w:cs="Times New Roman"/>
              </w:rPr>
              <w:t>Edukacija članova nadležnih izbornih povjerenstava će doprinijeti razvoju njihovih profesionalnih kompetencija</w:t>
            </w:r>
          </w:p>
        </w:tc>
        <w:tc>
          <w:tcPr>
            <w:tcW w:w="1020" w:type="dxa"/>
          </w:tcPr>
          <w:p w:rsidR="00E502BC" w:rsidRDefault="00132F77">
            <w:pPr>
              <w:pStyle w:val="CellColumn"/>
              <w:jc w:val="right"/>
            </w:pPr>
            <w:r>
              <w:rPr>
                <w:rFonts w:cs="Times New Roman"/>
              </w:rPr>
              <w:t>Broj o</w:t>
            </w:r>
            <w:r>
              <w:rPr>
                <w:rFonts w:cs="Times New Roman"/>
              </w:rPr>
              <w:t>držanih edukacija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Pregled rada za prethodnu godinu</w:t>
            </w:r>
          </w:p>
        </w:tc>
        <w:tc>
          <w:tcPr>
            <w:tcW w:w="1020" w:type="dxa"/>
          </w:tcPr>
          <w:p w:rsidR="00E502BC" w:rsidRDefault="00132F77">
            <w:pPr>
              <w:pStyle w:val="CellColumn"/>
              <w:jc w:val="right"/>
            </w:pPr>
            <w:r>
              <w:rPr>
                <w:rFonts w:cs="Times New Roman"/>
              </w:rPr>
              <w:t>20</w:t>
            </w:r>
          </w:p>
        </w:tc>
        <w:tc>
          <w:tcPr>
            <w:tcW w:w="1020" w:type="dxa"/>
          </w:tcPr>
          <w:p w:rsidR="00E502BC" w:rsidRDefault="00132F77">
            <w:pPr>
              <w:pStyle w:val="CellColumn"/>
              <w:jc w:val="right"/>
            </w:pPr>
            <w:r>
              <w:rPr>
                <w:rFonts w:cs="Times New Roman"/>
              </w:rPr>
              <w:t>1</w:t>
            </w:r>
          </w:p>
        </w:tc>
      </w:tr>
      <w:tr w:rsidR="00E502BC">
        <w:trPr>
          <w:jc w:val="center"/>
        </w:trPr>
        <w:tc>
          <w:tcPr>
            <w:tcW w:w="2551" w:type="dxa"/>
          </w:tcPr>
          <w:p w:rsidR="00E502BC" w:rsidRDefault="00132F77">
            <w:pPr>
              <w:pStyle w:val="CellColumn"/>
              <w:jc w:val="left"/>
            </w:pPr>
            <w:r>
              <w:rPr>
                <w:rFonts w:cs="Times New Roman"/>
              </w:rPr>
              <w:t>Broj održanih/objavljenih webinara za članove biračkih odbora</w:t>
            </w:r>
          </w:p>
        </w:tc>
        <w:tc>
          <w:tcPr>
            <w:tcW w:w="2551" w:type="dxa"/>
          </w:tcPr>
          <w:p w:rsidR="00E502BC" w:rsidRDefault="00132F77">
            <w:pPr>
              <w:pStyle w:val="CellColumn"/>
              <w:jc w:val="left"/>
            </w:pPr>
            <w:r>
              <w:rPr>
                <w:rFonts w:cs="Times New Roman"/>
              </w:rPr>
              <w:t>Sadržaj prezentiran webinarima će doprinijeti razvoju profesionalnih kompetencija članova biračkih odbora</w:t>
            </w:r>
          </w:p>
        </w:tc>
        <w:tc>
          <w:tcPr>
            <w:tcW w:w="1020" w:type="dxa"/>
          </w:tcPr>
          <w:p w:rsidR="00E502BC" w:rsidRDefault="00132F77">
            <w:pPr>
              <w:pStyle w:val="CellColumn"/>
              <w:jc w:val="right"/>
            </w:pPr>
            <w:r>
              <w:rPr>
                <w:rFonts w:cs="Times New Roman"/>
              </w:rPr>
              <w:t>Broj održanih/objavljenih webinara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 xml:space="preserve">Pregled rada za prethodnu godinu  </w:t>
            </w:r>
          </w:p>
          <w:p w:rsidR="00E502BC" w:rsidRDefault="00132F77">
            <w:pPr>
              <w:pStyle w:val="CellColumn"/>
              <w:jc w:val="right"/>
            </w:pPr>
            <w:r>
              <w:rPr>
                <w:rFonts w:cs="Times New Roman"/>
              </w:rPr>
              <w:t>Mrežne stranice Državnog izbornog povjerenstva</w:t>
            </w:r>
          </w:p>
        </w:tc>
        <w:tc>
          <w:tcPr>
            <w:tcW w:w="1020" w:type="dxa"/>
          </w:tcPr>
          <w:p w:rsidR="00E502BC" w:rsidRDefault="00132F77">
            <w:pPr>
              <w:pStyle w:val="CellColumn"/>
              <w:jc w:val="right"/>
            </w:pPr>
            <w:r>
              <w:rPr>
                <w:rFonts w:cs="Times New Roman"/>
              </w:rPr>
              <w:t>2</w:t>
            </w:r>
          </w:p>
        </w:tc>
        <w:tc>
          <w:tcPr>
            <w:tcW w:w="1020" w:type="dxa"/>
          </w:tcPr>
          <w:p w:rsidR="00E502BC" w:rsidRDefault="00132F77">
            <w:pPr>
              <w:pStyle w:val="CellColumn"/>
              <w:jc w:val="right"/>
            </w:pPr>
            <w:r>
              <w:rPr>
                <w:rFonts w:cs="Times New Roman"/>
              </w:rPr>
              <w:t>16</w:t>
            </w:r>
          </w:p>
        </w:tc>
      </w:tr>
      <w:tr w:rsidR="00E502BC">
        <w:trPr>
          <w:jc w:val="center"/>
        </w:trPr>
        <w:tc>
          <w:tcPr>
            <w:tcW w:w="2551" w:type="dxa"/>
          </w:tcPr>
          <w:p w:rsidR="00E502BC" w:rsidRDefault="00132F77">
            <w:pPr>
              <w:pStyle w:val="CellColumn"/>
              <w:jc w:val="left"/>
            </w:pPr>
            <w:r>
              <w:rPr>
                <w:rFonts w:cs="Times New Roman"/>
              </w:rPr>
              <w:t>Broj izrađenih podsjetnika za rad biračkih odbora</w:t>
            </w:r>
          </w:p>
        </w:tc>
        <w:tc>
          <w:tcPr>
            <w:tcW w:w="2551" w:type="dxa"/>
          </w:tcPr>
          <w:p w:rsidR="00E502BC" w:rsidRDefault="00132F77">
            <w:pPr>
              <w:pStyle w:val="CellColumn"/>
              <w:jc w:val="left"/>
            </w:pPr>
            <w:r>
              <w:rPr>
                <w:rFonts w:cs="Times New Roman"/>
              </w:rPr>
              <w:t>Podsjetnici za rad biračkih odbora će doprinijeti razvoju profesionalnih kompeten</w:t>
            </w:r>
            <w:r>
              <w:rPr>
                <w:rFonts w:cs="Times New Roman"/>
              </w:rPr>
              <w:t>cija članova biračkih odbora</w:t>
            </w:r>
          </w:p>
        </w:tc>
        <w:tc>
          <w:tcPr>
            <w:tcW w:w="1020" w:type="dxa"/>
          </w:tcPr>
          <w:p w:rsidR="00E502BC" w:rsidRDefault="00132F77">
            <w:pPr>
              <w:pStyle w:val="CellColumn"/>
              <w:jc w:val="right"/>
            </w:pPr>
            <w:r>
              <w:rPr>
                <w:rFonts w:cs="Times New Roman"/>
              </w:rPr>
              <w:t>Broj izrađenih i objavljenih Podsjetnika za rad biračkih odbora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 xml:space="preserve">Pregled rada za prethodnu godinu </w:t>
            </w:r>
          </w:p>
          <w:p w:rsidR="00E502BC" w:rsidRDefault="00132F77">
            <w:pPr>
              <w:pStyle w:val="CellColumn"/>
              <w:jc w:val="right"/>
            </w:pPr>
            <w:r>
              <w:rPr>
                <w:rFonts w:cs="Times New Roman"/>
              </w:rPr>
              <w:t>Mrežne stranice Državnog izbornog povjerenstva</w:t>
            </w:r>
          </w:p>
        </w:tc>
        <w:tc>
          <w:tcPr>
            <w:tcW w:w="1020" w:type="dxa"/>
          </w:tcPr>
          <w:p w:rsidR="00E502BC" w:rsidRDefault="00132F77">
            <w:pPr>
              <w:pStyle w:val="CellColumn"/>
              <w:jc w:val="right"/>
            </w:pPr>
            <w:r>
              <w:rPr>
                <w:rFonts w:cs="Times New Roman"/>
              </w:rPr>
              <w:t>2</w:t>
            </w:r>
          </w:p>
        </w:tc>
        <w:tc>
          <w:tcPr>
            <w:tcW w:w="1020" w:type="dxa"/>
          </w:tcPr>
          <w:p w:rsidR="00E502BC" w:rsidRDefault="00132F77">
            <w:pPr>
              <w:pStyle w:val="CellColumn"/>
              <w:jc w:val="right"/>
            </w:pPr>
            <w:r>
              <w:rPr>
                <w:rFonts w:cs="Times New Roman"/>
              </w:rPr>
              <w:t>2</w:t>
            </w:r>
          </w:p>
        </w:tc>
      </w:tr>
      <w:tr w:rsidR="00E502BC">
        <w:trPr>
          <w:jc w:val="center"/>
        </w:trPr>
        <w:tc>
          <w:tcPr>
            <w:tcW w:w="2551" w:type="dxa"/>
          </w:tcPr>
          <w:p w:rsidR="00E502BC" w:rsidRDefault="00132F77">
            <w:pPr>
              <w:pStyle w:val="CellColumn"/>
              <w:jc w:val="left"/>
            </w:pPr>
            <w:r>
              <w:rPr>
                <w:rFonts w:cs="Times New Roman"/>
              </w:rPr>
              <w:t>Broj održanih edukacija mladih birača</w:t>
            </w:r>
          </w:p>
        </w:tc>
        <w:tc>
          <w:tcPr>
            <w:tcW w:w="2551" w:type="dxa"/>
          </w:tcPr>
          <w:p w:rsidR="00E502BC" w:rsidRDefault="00132F77">
            <w:pPr>
              <w:pStyle w:val="CellColumn"/>
              <w:jc w:val="left"/>
            </w:pPr>
            <w:r>
              <w:rPr>
                <w:rFonts w:cs="Times New Roman"/>
              </w:rPr>
              <w:t>Edukacije će mladim biračima dati osn</w:t>
            </w:r>
            <w:r>
              <w:rPr>
                <w:rFonts w:cs="Times New Roman"/>
              </w:rPr>
              <w:t>ovne informacije o izbornim sustavima i doprinijeti osvještavanju mladih birača o važnosti glasovanja na izborima</w:t>
            </w:r>
          </w:p>
        </w:tc>
        <w:tc>
          <w:tcPr>
            <w:tcW w:w="1020" w:type="dxa"/>
          </w:tcPr>
          <w:p w:rsidR="00E502BC" w:rsidRDefault="00132F77">
            <w:pPr>
              <w:pStyle w:val="CellColumn"/>
              <w:jc w:val="right"/>
            </w:pPr>
            <w:r>
              <w:rPr>
                <w:rFonts w:cs="Times New Roman"/>
              </w:rPr>
              <w:t>Broj održanih edukacija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 xml:space="preserve">Pregled rada za prethodnu godinu </w:t>
            </w:r>
          </w:p>
          <w:p w:rsidR="00E502BC" w:rsidRDefault="00132F77">
            <w:pPr>
              <w:pStyle w:val="CellColumn"/>
              <w:jc w:val="right"/>
            </w:pPr>
            <w:r>
              <w:rPr>
                <w:rFonts w:cs="Times New Roman"/>
              </w:rPr>
              <w:t>Izvješće o provedenim edukacijama</w:t>
            </w:r>
          </w:p>
        </w:tc>
        <w:tc>
          <w:tcPr>
            <w:tcW w:w="1020" w:type="dxa"/>
          </w:tcPr>
          <w:p w:rsidR="00E502BC" w:rsidRDefault="00132F77">
            <w:pPr>
              <w:pStyle w:val="CellColumn"/>
              <w:jc w:val="right"/>
            </w:pPr>
            <w:r>
              <w:rPr>
                <w:rFonts w:cs="Times New Roman"/>
              </w:rPr>
              <w:t>30</w:t>
            </w:r>
          </w:p>
        </w:tc>
        <w:tc>
          <w:tcPr>
            <w:tcW w:w="1020" w:type="dxa"/>
          </w:tcPr>
          <w:p w:rsidR="00E502BC" w:rsidRDefault="00132F77">
            <w:pPr>
              <w:pStyle w:val="CellColumn"/>
              <w:jc w:val="right"/>
            </w:pPr>
            <w:r>
              <w:rPr>
                <w:rFonts w:cs="Times New Roman"/>
              </w:rPr>
              <w:t>8</w:t>
            </w:r>
          </w:p>
        </w:tc>
      </w:tr>
      <w:tr w:rsidR="00E502BC">
        <w:trPr>
          <w:jc w:val="center"/>
        </w:trPr>
        <w:tc>
          <w:tcPr>
            <w:tcW w:w="2551" w:type="dxa"/>
          </w:tcPr>
          <w:p w:rsidR="00E502BC" w:rsidRDefault="00132F77">
            <w:pPr>
              <w:pStyle w:val="CellColumn"/>
              <w:jc w:val="left"/>
            </w:pPr>
            <w:r>
              <w:rPr>
                <w:rFonts w:cs="Times New Roman"/>
              </w:rPr>
              <w:t>Broj razvijenih i objavljenih on-line edukacija namijenjenih izbornim sudionicima vezano uz financiranje izborne promidžbe</w:t>
            </w:r>
          </w:p>
        </w:tc>
        <w:tc>
          <w:tcPr>
            <w:tcW w:w="2551" w:type="dxa"/>
          </w:tcPr>
          <w:p w:rsidR="00E502BC" w:rsidRDefault="00132F77">
            <w:pPr>
              <w:pStyle w:val="CellColumn"/>
              <w:jc w:val="left"/>
            </w:pPr>
            <w:r>
              <w:rPr>
                <w:rFonts w:cs="Times New Roman"/>
              </w:rPr>
              <w:t>On-line edukacije će izborne sudionike podučiti o relevantnim aspektima vezano uz financirnje izborne promidžbe te u konačnici dovest</w:t>
            </w:r>
            <w:r>
              <w:rPr>
                <w:rFonts w:cs="Times New Roman"/>
              </w:rPr>
              <w:t>i do smanjenja broja povreda zakona</w:t>
            </w:r>
          </w:p>
        </w:tc>
        <w:tc>
          <w:tcPr>
            <w:tcW w:w="1020" w:type="dxa"/>
          </w:tcPr>
          <w:p w:rsidR="00E502BC" w:rsidRDefault="00132F77">
            <w:pPr>
              <w:pStyle w:val="CellColumn"/>
              <w:jc w:val="right"/>
            </w:pPr>
            <w:r>
              <w:rPr>
                <w:rFonts w:cs="Times New Roman"/>
              </w:rPr>
              <w:t>Broj razvijenih i objavljenih on-line edukacija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 xml:space="preserve">Pregled rada za prethodnu godinu </w:t>
            </w:r>
          </w:p>
          <w:p w:rsidR="00E502BC" w:rsidRDefault="00132F77">
            <w:pPr>
              <w:pStyle w:val="CellColumn"/>
              <w:jc w:val="right"/>
            </w:pPr>
            <w:r>
              <w:rPr>
                <w:rFonts w:cs="Times New Roman"/>
              </w:rPr>
              <w:t>Mrežne stranice Državnog izbornog povjerenstva</w:t>
            </w:r>
          </w:p>
        </w:tc>
        <w:tc>
          <w:tcPr>
            <w:tcW w:w="1020" w:type="dxa"/>
          </w:tcPr>
          <w:p w:rsidR="00E502BC" w:rsidRDefault="00132F77">
            <w:pPr>
              <w:pStyle w:val="CellColumn"/>
              <w:jc w:val="right"/>
            </w:pPr>
            <w:r>
              <w:rPr>
                <w:rFonts w:cs="Times New Roman"/>
              </w:rPr>
              <w:t>1</w:t>
            </w:r>
          </w:p>
        </w:tc>
        <w:tc>
          <w:tcPr>
            <w:tcW w:w="1020" w:type="dxa"/>
          </w:tcPr>
          <w:p w:rsidR="00E502BC" w:rsidRDefault="00132F77">
            <w:pPr>
              <w:pStyle w:val="CellColumn"/>
              <w:jc w:val="right"/>
            </w:pPr>
            <w:r>
              <w:rPr>
                <w:rFonts w:cs="Times New Roman"/>
              </w:rPr>
              <w:t>2</w:t>
            </w:r>
          </w:p>
        </w:tc>
      </w:tr>
      <w:tr w:rsidR="00E502BC">
        <w:trPr>
          <w:jc w:val="center"/>
        </w:trPr>
        <w:tc>
          <w:tcPr>
            <w:tcW w:w="2551" w:type="dxa"/>
          </w:tcPr>
          <w:p w:rsidR="00E502BC" w:rsidRDefault="00132F77">
            <w:pPr>
              <w:pStyle w:val="CellColumn"/>
              <w:jc w:val="left"/>
            </w:pPr>
            <w:r>
              <w:rPr>
                <w:rFonts w:cs="Times New Roman"/>
              </w:rPr>
              <w:t>Broj provedenih edukacija namijenjenih članovima nadležnih izbornih povjerenstava na</w:t>
            </w:r>
            <w:r>
              <w:rPr>
                <w:rFonts w:cs="Times New Roman"/>
              </w:rPr>
              <w:t xml:space="preserve"> lokalnim i dopunskim izborima</w:t>
            </w:r>
          </w:p>
        </w:tc>
        <w:tc>
          <w:tcPr>
            <w:tcW w:w="2551" w:type="dxa"/>
          </w:tcPr>
          <w:p w:rsidR="00E502BC" w:rsidRDefault="00132F77">
            <w:pPr>
              <w:pStyle w:val="CellColumn"/>
              <w:jc w:val="left"/>
            </w:pPr>
            <w:r>
              <w:rPr>
                <w:rFonts w:cs="Times New Roman"/>
              </w:rPr>
              <w:t>Edukacije članova nadležnih  izbornih povjerenstava će doprinijeti razvoju njihovih kompetencija</w:t>
            </w:r>
          </w:p>
        </w:tc>
        <w:tc>
          <w:tcPr>
            <w:tcW w:w="1020" w:type="dxa"/>
          </w:tcPr>
          <w:p w:rsidR="00E502BC" w:rsidRDefault="00132F77">
            <w:pPr>
              <w:pStyle w:val="CellColumn"/>
              <w:jc w:val="right"/>
            </w:pPr>
            <w:r>
              <w:rPr>
                <w:rFonts w:cs="Times New Roman"/>
              </w:rPr>
              <w:t xml:space="preserve">Broj prove   </w:t>
            </w:r>
          </w:p>
          <w:p w:rsidR="00E502BC" w:rsidRDefault="00132F77">
            <w:pPr>
              <w:pStyle w:val="CellColumn"/>
              <w:jc w:val="right"/>
            </w:pPr>
            <w:r>
              <w:rPr>
                <w:rFonts w:cs="Times New Roman"/>
              </w:rPr>
              <w:t>denih edukacija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Pregled rada za prethodnu godinu</w:t>
            </w:r>
          </w:p>
        </w:tc>
        <w:tc>
          <w:tcPr>
            <w:tcW w:w="1020" w:type="dxa"/>
          </w:tcPr>
          <w:p w:rsidR="00E502BC" w:rsidRDefault="00132F77">
            <w:pPr>
              <w:pStyle w:val="CellColumn"/>
              <w:jc w:val="right"/>
            </w:pPr>
            <w:r>
              <w:rPr>
                <w:rFonts w:cs="Times New Roman"/>
              </w:rPr>
              <w:t>20</w:t>
            </w:r>
          </w:p>
        </w:tc>
        <w:tc>
          <w:tcPr>
            <w:tcW w:w="1020" w:type="dxa"/>
          </w:tcPr>
          <w:p w:rsidR="00E502BC" w:rsidRDefault="00132F77">
            <w:pPr>
              <w:pStyle w:val="CellColumn"/>
              <w:jc w:val="right"/>
            </w:pPr>
            <w:r>
              <w:rPr>
                <w:rFonts w:cs="Times New Roman"/>
              </w:rPr>
              <w:t>2</w:t>
            </w:r>
          </w:p>
        </w:tc>
      </w:tr>
      <w:tr w:rsidR="00E502BC">
        <w:trPr>
          <w:jc w:val="center"/>
        </w:trPr>
        <w:tc>
          <w:tcPr>
            <w:tcW w:w="2551" w:type="dxa"/>
          </w:tcPr>
          <w:p w:rsidR="00E502BC" w:rsidRDefault="00132F77">
            <w:pPr>
              <w:pStyle w:val="CellColumn"/>
              <w:jc w:val="left"/>
            </w:pPr>
            <w:r>
              <w:rPr>
                <w:rFonts w:cs="Times New Roman"/>
              </w:rPr>
              <w:t>Broj zaključenih ugovora jedinstvene informatičke podrške redovnim lokalnim  izborima i dopunskim lokalnim izborima</w:t>
            </w:r>
          </w:p>
        </w:tc>
        <w:tc>
          <w:tcPr>
            <w:tcW w:w="2551" w:type="dxa"/>
          </w:tcPr>
          <w:p w:rsidR="00E502BC" w:rsidRDefault="00132F77">
            <w:pPr>
              <w:pStyle w:val="CellColumn"/>
              <w:jc w:val="left"/>
            </w:pPr>
            <w:r>
              <w:rPr>
                <w:rFonts w:cs="Times New Roman"/>
              </w:rPr>
              <w:t>Jedinstvena informatička podrška implementira se u svrhu efikasne i transparentne provedbe izbora</w:t>
            </w:r>
          </w:p>
        </w:tc>
        <w:tc>
          <w:tcPr>
            <w:tcW w:w="1020" w:type="dxa"/>
          </w:tcPr>
          <w:p w:rsidR="00E502BC" w:rsidRDefault="00132F77">
            <w:pPr>
              <w:pStyle w:val="CellColumn"/>
              <w:jc w:val="right"/>
            </w:pPr>
            <w:r>
              <w:rPr>
                <w:rFonts w:cs="Times New Roman"/>
              </w:rPr>
              <w:t>Broj zaključenih ugovora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Zaključeni ugov</w:t>
            </w:r>
            <w:r>
              <w:rPr>
                <w:rFonts w:cs="Times New Roman"/>
              </w:rPr>
              <w:t>or</w:t>
            </w:r>
          </w:p>
        </w:tc>
        <w:tc>
          <w:tcPr>
            <w:tcW w:w="1020" w:type="dxa"/>
          </w:tcPr>
          <w:p w:rsidR="00E502BC" w:rsidRDefault="00132F77">
            <w:pPr>
              <w:pStyle w:val="CellColumn"/>
              <w:jc w:val="right"/>
            </w:pPr>
            <w:r>
              <w:rPr>
                <w:rFonts w:cs="Times New Roman"/>
              </w:rPr>
              <w:t>2</w:t>
            </w:r>
          </w:p>
        </w:tc>
        <w:tc>
          <w:tcPr>
            <w:tcW w:w="1020" w:type="dxa"/>
          </w:tcPr>
          <w:p w:rsidR="00E502BC" w:rsidRDefault="00132F77">
            <w:pPr>
              <w:pStyle w:val="CellColumn"/>
              <w:jc w:val="right"/>
            </w:pPr>
            <w:r>
              <w:rPr>
                <w:rFonts w:cs="Times New Roman"/>
              </w:rPr>
              <w:t>2</w:t>
            </w:r>
          </w:p>
        </w:tc>
      </w:tr>
      <w:tr w:rsidR="00E502BC">
        <w:trPr>
          <w:jc w:val="center"/>
        </w:trPr>
        <w:tc>
          <w:tcPr>
            <w:tcW w:w="2551" w:type="dxa"/>
          </w:tcPr>
          <w:p w:rsidR="00E502BC" w:rsidRDefault="00132F77">
            <w:pPr>
              <w:pStyle w:val="CellColumn"/>
              <w:jc w:val="left"/>
            </w:pPr>
            <w:r>
              <w:rPr>
                <w:rFonts w:cs="Times New Roman"/>
              </w:rPr>
              <w:t>Broj zaključenih ugovora jedinstvene informatičke podrške prijevremenim lokalnim izborima</w:t>
            </w:r>
          </w:p>
        </w:tc>
        <w:tc>
          <w:tcPr>
            <w:tcW w:w="2551" w:type="dxa"/>
          </w:tcPr>
          <w:p w:rsidR="00E502BC" w:rsidRDefault="00132F77">
            <w:pPr>
              <w:pStyle w:val="CellColumn"/>
              <w:jc w:val="left"/>
            </w:pPr>
            <w:r>
              <w:rPr>
                <w:rFonts w:cs="Times New Roman"/>
              </w:rPr>
              <w:t>Jedinstvena informatička podrška implementira se u svrhu efikasne i transparentne provedbe izbora</w:t>
            </w:r>
          </w:p>
        </w:tc>
        <w:tc>
          <w:tcPr>
            <w:tcW w:w="1020" w:type="dxa"/>
          </w:tcPr>
          <w:p w:rsidR="00E502BC" w:rsidRDefault="00132F77">
            <w:pPr>
              <w:pStyle w:val="CellColumn"/>
              <w:jc w:val="right"/>
            </w:pPr>
            <w:r>
              <w:rPr>
                <w:rFonts w:cs="Times New Roman"/>
              </w:rPr>
              <w:t>Broj zaključenih ugovora</w:t>
            </w:r>
          </w:p>
        </w:tc>
        <w:tc>
          <w:tcPr>
            <w:tcW w:w="1020" w:type="dxa"/>
          </w:tcPr>
          <w:p w:rsidR="00E502BC" w:rsidRDefault="00132F77">
            <w:pPr>
              <w:pStyle w:val="CellColumn"/>
              <w:jc w:val="right"/>
            </w:pPr>
            <w:r>
              <w:rPr>
                <w:rFonts w:cs="Times New Roman"/>
              </w:rPr>
              <w:t>0</w:t>
            </w:r>
          </w:p>
        </w:tc>
        <w:tc>
          <w:tcPr>
            <w:tcW w:w="1020" w:type="dxa"/>
          </w:tcPr>
          <w:p w:rsidR="00E502BC" w:rsidRDefault="00132F77">
            <w:pPr>
              <w:pStyle w:val="CellColumn"/>
              <w:jc w:val="right"/>
            </w:pPr>
            <w:r>
              <w:rPr>
                <w:rFonts w:cs="Times New Roman"/>
              </w:rPr>
              <w:t>Zaključeni ugovor</w:t>
            </w:r>
          </w:p>
        </w:tc>
        <w:tc>
          <w:tcPr>
            <w:tcW w:w="1020" w:type="dxa"/>
          </w:tcPr>
          <w:p w:rsidR="00E502BC" w:rsidRDefault="00132F77">
            <w:pPr>
              <w:pStyle w:val="CellColumn"/>
              <w:jc w:val="right"/>
            </w:pPr>
            <w:r>
              <w:rPr>
                <w:rFonts w:cs="Times New Roman"/>
              </w:rPr>
              <w:t>1</w:t>
            </w:r>
          </w:p>
        </w:tc>
        <w:tc>
          <w:tcPr>
            <w:tcW w:w="1020" w:type="dxa"/>
          </w:tcPr>
          <w:p w:rsidR="00E502BC" w:rsidRDefault="00132F77">
            <w:pPr>
              <w:pStyle w:val="CellColumn"/>
              <w:jc w:val="right"/>
            </w:pPr>
            <w:r>
              <w:rPr>
                <w:rFonts w:cs="Times New Roman"/>
              </w:rPr>
              <w:t>1</w:t>
            </w:r>
          </w:p>
        </w:tc>
      </w:tr>
    </w:tbl>
    <w:p w:rsidR="00E502BC" w:rsidRDefault="00E502BC">
      <w:pPr>
        <w:jc w:val="left"/>
      </w:pPr>
    </w:p>
    <w:p w:rsidR="00E502BC" w:rsidRDefault="00132F77">
      <w:pPr>
        <w:pStyle w:val="Naslov4"/>
      </w:pPr>
      <w:r>
        <w:t>A896002 ADMINISTRACIJA I UPRAVLJANJE</w:t>
      </w:r>
    </w:p>
    <w:tbl>
      <w:tblPr>
        <w:tblStyle w:val="StilTablice"/>
        <w:tblW w:w="10206" w:type="dxa"/>
        <w:jc w:val="center"/>
        <w:tblLook w:val="04A0" w:firstRow="1" w:lastRow="0" w:firstColumn="1" w:lastColumn="0" w:noHBand="0" w:noVBand="1"/>
      </w:tblPr>
      <w:tblGrid>
        <w:gridCol w:w="1793"/>
        <w:gridCol w:w="1994"/>
        <w:gridCol w:w="1994"/>
        <w:gridCol w:w="1994"/>
        <w:gridCol w:w="1213"/>
        <w:gridCol w:w="1218"/>
      </w:tblGrid>
      <w:tr w:rsidR="00E502BC">
        <w:trPr>
          <w:jc w:val="center"/>
        </w:trPr>
        <w:tc>
          <w:tcPr>
            <w:tcW w:w="1632" w:type="dxa"/>
            <w:shd w:val="clear" w:color="auto" w:fill="B5C0D8"/>
          </w:tcPr>
          <w:p w:rsidR="00E502BC" w:rsidRDefault="00132F77">
            <w:pPr>
              <w:pStyle w:val="CellHeader"/>
              <w:jc w:val="center"/>
            </w:pPr>
            <w:r>
              <w:rPr>
                <w:rFonts w:cs="Times New Roman"/>
              </w:rPr>
              <w:t>Naziv aktivnosti</w:t>
            </w:r>
          </w:p>
        </w:tc>
        <w:tc>
          <w:tcPr>
            <w:tcW w:w="2041" w:type="dxa"/>
            <w:shd w:val="clear" w:color="auto" w:fill="B5C0D8"/>
          </w:tcPr>
          <w:p w:rsidR="00E502BC" w:rsidRDefault="00132F77">
            <w:pPr>
              <w:pStyle w:val="CellHeader"/>
              <w:jc w:val="center"/>
            </w:pPr>
            <w:r>
              <w:rPr>
                <w:rFonts w:cs="Times New Roman"/>
              </w:rPr>
              <w:t>Izvršenje 2024. (eur)</w:t>
            </w:r>
          </w:p>
        </w:tc>
        <w:tc>
          <w:tcPr>
            <w:tcW w:w="2041" w:type="dxa"/>
            <w:shd w:val="clear" w:color="auto" w:fill="B5C0D8"/>
          </w:tcPr>
          <w:p w:rsidR="00E502BC" w:rsidRDefault="00132F77">
            <w:pPr>
              <w:pStyle w:val="CellHeader"/>
              <w:jc w:val="center"/>
            </w:pPr>
            <w:r>
              <w:rPr>
                <w:rFonts w:cs="Times New Roman"/>
              </w:rPr>
              <w:t>Plan 2025. (eur)</w:t>
            </w:r>
          </w:p>
        </w:tc>
        <w:tc>
          <w:tcPr>
            <w:tcW w:w="2041" w:type="dxa"/>
            <w:shd w:val="clear" w:color="auto" w:fill="B5C0D8"/>
          </w:tcPr>
          <w:p w:rsidR="00E502BC" w:rsidRDefault="00132F77">
            <w:pPr>
              <w:pStyle w:val="CellHeader"/>
              <w:jc w:val="center"/>
            </w:pPr>
            <w:r>
              <w:rPr>
                <w:rFonts w:cs="Times New Roman"/>
              </w:rPr>
              <w:t>Izvršenje 2025. (eur)</w:t>
            </w:r>
          </w:p>
        </w:tc>
        <w:tc>
          <w:tcPr>
            <w:tcW w:w="1224" w:type="dxa"/>
            <w:shd w:val="clear" w:color="auto" w:fill="B5C0D8"/>
          </w:tcPr>
          <w:p w:rsidR="00E502BC" w:rsidRDefault="00132F77">
            <w:pPr>
              <w:pStyle w:val="CellHeader"/>
              <w:jc w:val="center"/>
            </w:pPr>
            <w:r>
              <w:rPr>
                <w:rFonts w:cs="Times New Roman"/>
              </w:rPr>
              <w:t>Indeks izvršenje 2025./plan 2025.</w:t>
            </w:r>
          </w:p>
        </w:tc>
        <w:tc>
          <w:tcPr>
            <w:tcW w:w="1224" w:type="dxa"/>
            <w:shd w:val="clear" w:color="auto" w:fill="B5C0D8"/>
          </w:tcPr>
          <w:p w:rsidR="00E502BC" w:rsidRDefault="00132F77">
            <w:pPr>
              <w:pStyle w:val="CellHeader"/>
              <w:jc w:val="center"/>
            </w:pPr>
            <w:r>
              <w:rPr>
                <w:rFonts w:cs="Times New Roman"/>
              </w:rPr>
              <w:t>Indeks izvršenje 2025./2024.</w:t>
            </w:r>
          </w:p>
        </w:tc>
      </w:tr>
      <w:tr w:rsidR="00E502BC">
        <w:trPr>
          <w:jc w:val="center"/>
        </w:trPr>
        <w:tc>
          <w:tcPr>
            <w:tcW w:w="1632" w:type="dxa"/>
          </w:tcPr>
          <w:p w:rsidR="00E502BC" w:rsidRDefault="00132F77">
            <w:pPr>
              <w:pStyle w:val="CellColumn"/>
              <w:jc w:val="left"/>
            </w:pPr>
            <w:r>
              <w:rPr>
                <w:rFonts w:cs="Times New Roman"/>
              </w:rPr>
              <w:t>A896002-ADMINISTRACIJA I UPRAVLJANJE</w:t>
            </w:r>
          </w:p>
        </w:tc>
        <w:tc>
          <w:tcPr>
            <w:tcW w:w="2041" w:type="dxa"/>
          </w:tcPr>
          <w:p w:rsidR="00E502BC" w:rsidRDefault="00132F77">
            <w:pPr>
              <w:pStyle w:val="CellColumn"/>
              <w:jc w:val="right"/>
            </w:pPr>
            <w:r>
              <w:rPr>
                <w:rFonts w:cs="Times New Roman"/>
              </w:rPr>
              <w:t>1.505.001</w:t>
            </w:r>
          </w:p>
        </w:tc>
        <w:tc>
          <w:tcPr>
            <w:tcW w:w="2041" w:type="dxa"/>
          </w:tcPr>
          <w:p w:rsidR="00E502BC" w:rsidRDefault="00132F77">
            <w:pPr>
              <w:pStyle w:val="CellColumn"/>
              <w:jc w:val="right"/>
            </w:pPr>
            <w:r>
              <w:rPr>
                <w:rFonts w:cs="Times New Roman"/>
              </w:rPr>
              <w:t>2.794.262</w:t>
            </w:r>
          </w:p>
        </w:tc>
        <w:tc>
          <w:tcPr>
            <w:tcW w:w="2041" w:type="dxa"/>
          </w:tcPr>
          <w:p w:rsidR="00E502BC" w:rsidRDefault="00132F77">
            <w:pPr>
              <w:pStyle w:val="CellColumn"/>
              <w:jc w:val="right"/>
            </w:pPr>
            <w:r>
              <w:rPr>
                <w:rFonts w:cs="Times New Roman"/>
              </w:rPr>
              <w:t>1.729.675</w:t>
            </w:r>
          </w:p>
        </w:tc>
        <w:tc>
          <w:tcPr>
            <w:tcW w:w="1224" w:type="dxa"/>
          </w:tcPr>
          <w:p w:rsidR="00E502BC" w:rsidRDefault="00132F77">
            <w:pPr>
              <w:pStyle w:val="CellColumn"/>
              <w:jc w:val="right"/>
            </w:pPr>
            <w:r>
              <w:rPr>
                <w:rFonts w:cs="Times New Roman"/>
              </w:rPr>
              <w:t>61,9</w:t>
            </w:r>
          </w:p>
        </w:tc>
        <w:tc>
          <w:tcPr>
            <w:tcW w:w="1224" w:type="dxa"/>
          </w:tcPr>
          <w:p w:rsidR="00E502BC" w:rsidRDefault="00132F77">
            <w:pPr>
              <w:pStyle w:val="CellColumn"/>
              <w:jc w:val="right"/>
            </w:pPr>
            <w:r>
              <w:rPr>
                <w:rFonts w:cs="Times New Roman"/>
              </w:rPr>
              <w:t>114,9</w:t>
            </w:r>
          </w:p>
        </w:tc>
      </w:tr>
    </w:tbl>
    <w:p w:rsidR="00E502BC" w:rsidRDefault="00E502BC">
      <w:pPr>
        <w:jc w:val="left"/>
      </w:pPr>
    </w:p>
    <w:p w:rsidR="00E502BC" w:rsidRDefault="00132F77">
      <w:pPr>
        <w:pStyle w:val="Naslov8"/>
        <w:jc w:val="left"/>
      </w:pPr>
      <w:r>
        <w:t>Zakonske i druge pravne osnove</w:t>
      </w:r>
    </w:p>
    <w:p w:rsidR="00E502BC" w:rsidRDefault="00132F77">
      <w:r>
        <w:t xml:space="preserve">Zakon o Državnom izbornom povjerenstvu Republike Hrvatske   </w:t>
      </w:r>
    </w:p>
    <w:p w:rsidR="00E502BC" w:rsidRDefault="00132F77">
      <w:r>
        <w:t>Poslovnik o radu Državnog izbornog povjerenstva Republike Hrvatske</w:t>
      </w:r>
    </w:p>
    <w:p w:rsidR="00E502BC" w:rsidRDefault="00132F77">
      <w:pPr>
        <w:pStyle w:val="Naslov8"/>
        <w:jc w:val="left"/>
      </w:pPr>
      <w:r>
        <w:t>Opis aktivnosti</w:t>
      </w:r>
    </w:p>
    <w:p w:rsidR="00E502BC" w:rsidRDefault="00132F77">
      <w:r>
        <w:t xml:space="preserve">Na aktivnosti A896002 Administracija i upravljanje utrošeno je 1.729.674,54 eura što se u cijelosti se odnosi na sredstva potrebna za redovan rad Državnog izbornog povjerenstva, a što iznosi 61,9% od plana za 2025.  </w:t>
      </w:r>
    </w:p>
    <w:p w:rsidR="00E502BC" w:rsidRDefault="00132F77">
      <w:r>
        <w:t>Najznačajni troškovi na ovoj aktivnosti</w:t>
      </w:r>
      <w:r>
        <w:t xml:space="preserve"> odnose se na plaće i ostale rashode za zaposlene (regres, uskrsnica, božićnica, jubilarne nagrade, dar za djecu te pomoći za bolovanje i za smrtni slučaj) te pripadajuće doprinose na plaće zaposlenih u iznosu 1.295.441,99 eura (74,9%). Materijalni rashodi</w:t>
      </w:r>
      <w:r>
        <w:t xml:space="preserve"> u iznosu od 381.464,76 eura čine 22,1% , a rashodi za nabavu proizvedene dugotrajne imovine u iznosu od 52.767,60 eura čine 3% izvršenih sredstava. Od materijalnih rashoda najznačajniji stavka su troškovi računalnih usluga u iznosu od 149.883,27 eura, usl</w:t>
      </w:r>
      <w:r>
        <w:t>uge tekućeg i investicijskog održavanja u iznosu od 15.075,97 eura, naknade za rad predsjednika i potpredsjednika Državnog izbornog povjerenstva iz redova sudaca Vrhovnog suda u iznosu od 58.068,84 eura, troškovi energije u iznosu od 14.713,14 eura, troško</w:t>
      </w:r>
      <w:r>
        <w:t xml:space="preserve">vi službenih putovanja u iznosu od 23.249,96 eura, zakupnine i najamnine u iznosu od 29.209,80 eura, troškovi telefona, pošte i prijevoza u iznosu od 16.565,59 eura te ostale usluge u iznosu od 26.658,58 eura.  </w:t>
      </w:r>
    </w:p>
    <w:p w:rsidR="00E502BC" w:rsidRDefault="00132F77">
      <w:r>
        <w:t>Do manjeg postotka izvršenja u okviru ove ak</w:t>
      </w:r>
      <w:r>
        <w:t xml:space="preserve">tivnosti došlo je na pojedinim pozicijama što se prije svega odnosi na plaće i ostale rashode za zaposlene i pripadajuće doprinose, energiju, usluge tekućeg i investicijskog održavanja te računalne usluge.  </w:t>
      </w:r>
    </w:p>
    <w:p w:rsidR="00E502BC" w:rsidRDefault="00132F77">
      <w:r>
        <w:t>Manje izvršenje na poziciji rashoda za zaposlene</w:t>
      </w:r>
      <w:r>
        <w:t xml:space="preserve"> u odnosu na planirano najvećim je dijelom vezano uz povećani broj korisnica rodiljnih i roditeljskih potpora odnosno slučajeva privremene nesposobnosti za rad zbog komplikacija u trudnoći te korištenja drugih prava vezanih uz njegu djece. Na dan 31. prosi</w:t>
      </w:r>
      <w:r>
        <w:t>nca 2025. ukupno je bila zaposlena 31 osoba (25 službenika i namještenika i 6 dužnosnika). Budući je potrošnja plina i električne energije u 2025. ostala na istoj razini kao prethodne godine i s obzirom da cijene energenata nisu rasle u 2025. došlo je do m</w:t>
      </w:r>
      <w:r>
        <w:t>anjeg izvršenja u odnosu na planirano. Do manjeg izvršenja na poziciji računalnih usluga došlo je iz razloga što u izvještajnom razdoblju nije bilo potrebe za značajnijom investicijom vezano uz unaprjeđenje zaštite postojećeg informacijskog sustava u pogle</w:t>
      </w:r>
      <w:r>
        <w:t>du kibernetičke sigurnosti. Razina kibernetičke sigurnosti podignuta je na zadovoljavajuću razinu na drugi odgovarajući način, a bez potrebe dodatnih ulaganja. Državno izborno povjerenstvo je, u suradnji s vanjskim pružateljem IT usluga i Nacionalnim Centr</w:t>
      </w:r>
      <w:r>
        <w:t xml:space="preserve">om za kibernetičku sigurnost u okviru Sigurnosno-obavještajne agencije (dalje: SOA), poduzelo određene mjere usmjerene na jačanje zaštite od kibernetičkih napada i drugih kibernetičkih ugroza u provedbi izbora.  </w:t>
      </w:r>
    </w:p>
    <w:p w:rsidR="00E502BC" w:rsidRDefault="00132F77">
      <w:r>
        <w:t xml:space="preserve">U odnosu na izvršenje u istom izvještajnom </w:t>
      </w:r>
      <w:r>
        <w:t>razdoblju prethodne godine došlo je do povećanja u 2025. Do takvog odstupanja došlo je prvenstveno na poziciji rashoda za zaposlene. Rashodi za zaposlene su u odnosu na isto razdoblje prethodne godine povećani zbog povećanja visine osnovice za obračun plać</w:t>
      </w:r>
      <w:r>
        <w:t xml:space="preserve">a državih dužnosnika, koja se primjenjivala za cijelu 2025., rasta osnovice za obračun plaća državnih službenika i namještenika u više navrata tijekom 2025. te zapošljavanja troje novih službenika u drugoj polovici 2025. Isto tako tijekom 2025. za potrebe </w:t>
      </w:r>
      <w:r>
        <w:t>redovnog poslovanja nabavljeno je prijevozno sredstvo – osobni automobil što je osim samog troška nabave prijevoznog sredstva dovelo i do povećanja troškova kojih nije bilo u prethodnom razdoblju, a što se prvenstveno odnosi na troškove održavanja i osigur</w:t>
      </w:r>
      <w:r>
        <w:t>anja.</w:t>
      </w:r>
    </w:p>
    <w:p w:rsidR="00E502BC" w:rsidRDefault="00132F77">
      <w:pPr>
        <w:pStyle w:val="Naslov4"/>
      </w:pPr>
      <w:r>
        <w:t>A896006 PROVEDBA REFERENDUMA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502BC">
        <w:trPr>
          <w:jc w:val="center"/>
        </w:trPr>
        <w:tc>
          <w:tcPr>
            <w:tcW w:w="1632" w:type="dxa"/>
            <w:shd w:val="clear" w:color="auto" w:fill="B5C0D8"/>
          </w:tcPr>
          <w:p w:rsidR="00E502BC" w:rsidRDefault="00132F77">
            <w:pPr>
              <w:pStyle w:val="CellHeader"/>
              <w:jc w:val="center"/>
            </w:pPr>
            <w:r>
              <w:rPr>
                <w:rFonts w:cs="Times New Roman"/>
              </w:rPr>
              <w:t>Naziv aktivnosti</w:t>
            </w:r>
          </w:p>
        </w:tc>
        <w:tc>
          <w:tcPr>
            <w:tcW w:w="2041" w:type="dxa"/>
            <w:shd w:val="clear" w:color="auto" w:fill="B5C0D8"/>
          </w:tcPr>
          <w:p w:rsidR="00E502BC" w:rsidRDefault="00132F77">
            <w:pPr>
              <w:pStyle w:val="CellHeader"/>
              <w:jc w:val="center"/>
            </w:pPr>
            <w:r>
              <w:rPr>
                <w:rFonts w:cs="Times New Roman"/>
              </w:rPr>
              <w:t>Izvršenje 2024. (eur)</w:t>
            </w:r>
          </w:p>
        </w:tc>
        <w:tc>
          <w:tcPr>
            <w:tcW w:w="2041" w:type="dxa"/>
            <w:shd w:val="clear" w:color="auto" w:fill="B5C0D8"/>
          </w:tcPr>
          <w:p w:rsidR="00E502BC" w:rsidRDefault="00132F77">
            <w:pPr>
              <w:pStyle w:val="CellHeader"/>
              <w:jc w:val="center"/>
            </w:pPr>
            <w:r>
              <w:rPr>
                <w:rFonts w:cs="Times New Roman"/>
              </w:rPr>
              <w:t>Plan 2025. (eur)</w:t>
            </w:r>
          </w:p>
        </w:tc>
        <w:tc>
          <w:tcPr>
            <w:tcW w:w="2041" w:type="dxa"/>
            <w:shd w:val="clear" w:color="auto" w:fill="B5C0D8"/>
          </w:tcPr>
          <w:p w:rsidR="00E502BC" w:rsidRDefault="00132F77">
            <w:pPr>
              <w:pStyle w:val="CellHeader"/>
              <w:jc w:val="center"/>
            </w:pPr>
            <w:r>
              <w:rPr>
                <w:rFonts w:cs="Times New Roman"/>
              </w:rPr>
              <w:t>Izvršenje 2025. (eur)</w:t>
            </w:r>
          </w:p>
        </w:tc>
        <w:tc>
          <w:tcPr>
            <w:tcW w:w="1224" w:type="dxa"/>
            <w:shd w:val="clear" w:color="auto" w:fill="B5C0D8"/>
          </w:tcPr>
          <w:p w:rsidR="00E502BC" w:rsidRDefault="00132F77">
            <w:pPr>
              <w:pStyle w:val="CellHeader"/>
              <w:jc w:val="center"/>
            </w:pPr>
            <w:r>
              <w:rPr>
                <w:rFonts w:cs="Times New Roman"/>
              </w:rPr>
              <w:t>Indeks izvršenje 2025./plan 2025.</w:t>
            </w:r>
          </w:p>
        </w:tc>
        <w:tc>
          <w:tcPr>
            <w:tcW w:w="1224" w:type="dxa"/>
            <w:shd w:val="clear" w:color="auto" w:fill="B5C0D8"/>
          </w:tcPr>
          <w:p w:rsidR="00E502BC" w:rsidRDefault="00132F77">
            <w:pPr>
              <w:pStyle w:val="CellHeader"/>
              <w:jc w:val="center"/>
            </w:pPr>
            <w:r>
              <w:rPr>
                <w:rFonts w:cs="Times New Roman"/>
              </w:rPr>
              <w:t>Indeks izvršenje 2025./2024.</w:t>
            </w:r>
          </w:p>
        </w:tc>
      </w:tr>
      <w:tr w:rsidR="00E502BC">
        <w:trPr>
          <w:jc w:val="center"/>
        </w:trPr>
        <w:tc>
          <w:tcPr>
            <w:tcW w:w="1632" w:type="dxa"/>
          </w:tcPr>
          <w:p w:rsidR="00E502BC" w:rsidRDefault="00132F77">
            <w:pPr>
              <w:pStyle w:val="CellColumn"/>
              <w:jc w:val="left"/>
            </w:pPr>
            <w:r>
              <w:rPr>
                <w:rFonts w:cs="Times New Roman"/>
              </w:rPr>
              <w:t>A896006-PROVEDBA REFERENDUMA</w:t>
            </w:r>
          </w:p>
        </w:tc>
        <w:tc>
          <w:tcPr>
            <w:tcW w:w="2041" w:type="dxa"/>
          </w:tcPr>
          <w:p w:rsidR="00E502BC" w:rsidRDefault="00132F77">
            <w:pPr>
              <w:pStyle w:val="CellColumn"/>
              <w:jc w:val="right"/>
            </w:pPr>
            <w:r>
              <w:rPr>
                <w:rFonts w:cs="Times New Roman"/>
              </w:rPr>
              <w:t>0</w:t>
            </w:r>
          </w:p>
        </w:tc>
        <w:tc>
          <w:tcPr>
            <w:tcW w:w="2041" w:type="dxa"/>
          </w:tcPr>
          <w:p w:rsidR="00E502BC" w:rsidRDefault="00132F77">
            <w:pPr>
              <w:pStyle w:val="CellColumn"/>
              <w:jc w:val="right"/>
            </w:pPr>
            <w:r>
              <w:rPr>
                <w:rFonts w:cs="Times New Roman"/>
              </w:rPr>
              <w:t>0</w:t>
            </w:r>
          </w:p>
        </w:tc>
        <w:tc>
          <w:tcPr>
            <w:tcW w:w="2041" w:type="dxa"/>
          </w:tcPr>
          <w:p w:rsidR="00E502BC" w:rsidRDefault="00132F77">
            <w:pPr>
              <w:pStyle w:val="CellColumn"/>
              <w:jc w:val="right"/>
            </w:pPr>
            <w:r>
              <w:rPr>
                <w:rFonts w:cs="Times New Roman"/>
              </w:rPr>
              <w:t>0</w:t>
            </w:r>
          </w:p>
        </w:tc>
        <w:tc>
          <w:tcPr>
            <w:tcW w:w="1224" w:type="dxa"/>
          </w:tcPr>
          <w:p w:rsidR="00E502BC" w:rsidRDefault="00132F77">
            <w:pPr>
              <w:pStyle w:val="CellColumn"/>
              <w:jc w:val="right"/>
            </w:pPr>
            <w:r>
              <w:rPr>
                <w:rFonts w:cs="Times New Roman"/>
              </w:rPr>
              <w:t>0</w:t>
            </w:r>
          </w:p>
        </w:tc>
        <w:tc>
          <w:tcPr>
            <w:tcW w:w="1224" w:type="dxa"/>
          </w:tcPr>
          <w:p w:rsidR="00E502BC" w:rsidRDefault="00132F77">
            <w:pPr>
              <w:pStyle w:val="CellColumn"/>
              <w:jc w:val="right"/>
            </w:pPr>
            <w:r>
              <w:rPr>
                <w:rFonts w:cs="Times New Roman"/>
              </w:rPr>
              <w:t>0</w:t>
            </w:r>
          </w:p>
        </w:tc>
      </w:tr>
    </w:tbl>
    <w:p w:rsidR="00E502BC" w:rsidRDefault="00E502BC">
      <w:pPr>
        <w:jc w:val="left"/>
      </w:pPr>
    </w:p>
    <w:p w:rsidR="00E502BC" w:rsidRDefault="00132F77">
      <w:pPr>
        <w:pStyle w:val="Naslov8"/>
        <w:jc w:val="left"/>
      </w:pPr>
      <w:r>
        <w:t>Zakonske i druge pravne osnove</w:t>
      </w:r>
    </w:p>
    <w:p w:rsidR="00E502BC" w:rsidRDefault="00132F77">
      <w:r>
        <w:t>Zakon o financiranju političkih aktivnosti, izborne promidžbe i referenduma</w:t>
      </w:r>
    </w:p>
    <w:p w:rsidR="00E502BC" w:rsidRDefault="00132F77">
      <w:pPr>
        <w:pStyle w:val="Naslov8"/>
        <w:jc w:val="left"/>
      </w:pPr>
      <w:r>
        <w:t>Opis aktivnosti</w:t>
      </w:r>
    </w:p>
    <w:p w:rsidR="00E502BC" w:rsidRDefault="00132F77">
      <w:r>
        <w:t>Zakonom o financiranju političkih aktivnosti, izborne promidžbe i referenduma propisana je nadležnost Državnog izbornog povjerenstva u provedbi nadzora financiranja referendumskih aktivnosti. Dostava financijskih izvještaja Državnom izbornom povjerenstvu o</w:t>
      </w:r>
      <w:r>
        <w:t>bavlja se unosom u informacijski sustav. Informacijski sustav je, za pojedinu referendumsku inicijativu, u funkciji od trenutka dostave obavijesti Državnom izbornom povjerenstvu od strane Organizacijskog odbora o otvaranju posebnog računa za financiranje r</w:t>
      </w:r>
      <w:r>
        <w:t xml:space="preserve">eferendumske aktivnosti do predaje završnog financijskog izvještaja.  </w:t>
      </w:r>
    </w:p>
    <w:p w:rsidR="00E502BC" w:rsidRDefault="00132F77">
      <w:r>
        <w:t>S obzirom da nije moguće predvidjeti referendumske inicijative, sredstva za 2025. planirana su za provedbu nadzora referendumske aktivnosti na bazi procjene nadzora financiranja 5 refer</w:t>
      </w:r>
      <w:r>
        <w:t xml:space="preserve">endumskih aktivnosti (na državnoj i/ili lokalnoj razini). Tijekom 2025. nije bilo potrebe za aktivacijom informacijskog sustava za nadzor financiranja referendumskih aktivnosti tako da je izvršenje na aktivnosti Provedba referenduma iznosilo 0,00 eura. </w:t>
      </w:r>
    </w:p>
    <w:p w:rsidR="00E502BC" w:rsidRDefault="00132F77">
      <w:r>
        <w:t>Sr</w:t>
      </w:r>
      <w:r>
        <w:t>edstva su za ovu aktivnost u izvornom planu za 2025. godinu planirana u iznosu od 17.100 eura. Izmjenama i dopunama proračuna iz listopada 2025. godine ova su sredstva preraspodjeljena na druge aktivnosti.</w:t>
      </w:r>
    </w:p>
    <w:p w:rsidR="00E502BC" w:rsidRDefault="00132F77">
      <w:pPr>
        <w:pStyle w:val="Naslov4"/>
      </w:pPr>
      <w:r>
        <w:t>K896003 INFORMATIZACIJA DRŽAVNOG IZBORNOG POVJERENSTVA REPUBLIKE HRVATSKE</w:t>
      </w:r>
    </w:p>
    <w:tbl>
      <w:tblPr>
        <w:tblStyle w:val="StilTablice"/>
        <w:tblW w:w="10206" w:type="dxa"/>
        <w:jc w:val="center"/>
        <w:tblLook w:val="04A0" w:firstRow="1" w:lastRow="0" w:firstColumn="1" w:lastColumn="0" w:noHBand="0" w:noVBand="1"/>
      </w:tblPr>
      <w:tblGrid>
        <w:gridCol w:w="1914"/>
        <w:gridCol w:w="1961"/>
        <w:gridCol w:w="1949"/>
        <w:gridCol w:w="1961"/>
        <w:gridCol w:w="1207"/>
        <w:gridCol w:w="1214"/>
      </w:tblGrid>
      <w:tr w:rsidR="00E502BC">
        <w:trPr>
          <w:jc w:val="center"/>
        </w:trPr>
        <w:tc>
          <w:tcPr>
            <w:tcW w:w="1632" w:type="dxa"/>
            <w:shd w:val="clear" w:color="auto" w:fill="B5C0D8"/>
          </w:tcPr>
          <w:p w:rsidR="00E502BC" w:rsidRDefault="00132F77">
            <w:pPr>
              <w:pStyle w:val="CellHeader"/>
              <w:jc w:val="center"/>
            </w:pPr>
            <w:r>
              <w:rPr>
                <w:rFonts w:cs="Times New Roman"/>
              </w:rPr>
              <w:t>Naziv aktivnosti</w:t>
            </w:r>
          </w:p>
        </w:tc>
        <w:tc>
          <w:tcPr>
            <w:tcW w:w="2041" w:type="dxa"/>
            <w:shd w:val="clear" w:color="auto" w:fill="B5C0D8"/>
          </w:tcPr>
          <w:p w:rsidR="00E502BC" w:rsidRDefault="00132F77">
            <w:pPr>
              <w:pStyle w:val="CellHeader"/>
              <w:jc w:val="center"/>
            </w:pPr>
            <w:r>
              <w:rPr>
                <w:rFonts w:cs="Times New Roman"/>
              </w:rPr>
              <w:t>Izvršenje 2024. (eur)</w:t>
            </w:r>
          </w:p>
        </w:tc>
        <w:tc>
          <w:tcPr>
            <w:tcW w:w="2041" w:type="dxa"/>
            <w:shd w:val="clear" w:color="auto" w:fill="B5C0D8"/>
          </w:tcPr>
          <w:p w:rsidR="00E502BC" w:rsidRDefault="00132F77">
            <w:pPr>
              <w:pStyle w:val="CellHeader"/>
              <w:jc w:val="center"/>
            </w:pPr>
            <w:r>
              <w:rPr>
                <w:rFonts w:cs="Times New Roman"/>
              </w:rPr>
              <w:t>Plan 2025. (eur)</w:t>
            </w:r>
          </w:p>
        </w:tc>
        <w:tc>
          <w:tcPr>
            <w:tcW w:w="2041" w:type="dxa"/>
            <w:shd w:val="clear" w:color="auto" w:fill="B5C0D8"/>
          </w:tcPr>
          <w:p w:rsidR="00E502BC" w:rsidRDefault="00132F77">
            <w:pPr>
              <w:pStyle w:val="CellHeader"/>
              <w:jc w:val="center"/>
            </w:pPr>
            <w:r>
              <w:rPr>
                <w:rFonts w:cs="Times New Roman"/>
              </w:rPr>
              <w:t>Izvršenje 2025. (eur)</w:t>
            </w:r>
          </w:p>
        </w:tc>
        <w:tc>
          <w:tcPr>
            <w:tcW w:w="1224" w:type="dxa"/>
            <w:shd w:val="clear" w:color="auto" w:fill="B5C0D8"/>
          </w:tcPr>
          <w:p w:rsidR="00E502BC" w:rsidRDefault="00132F77">
            <w:pPr>
              <w:pStyle w:val="CellHeader"/>
              <w:jc w:val="center"/>
            </w:pPr>
            <w:r>
              <w:rPr>
                <w:rFonts w:cs="Times New Roman"/>
              </w:rPr>
              <w:t>Indeks izvršenje 2025./plan 2025.</w:t>
            </w:r>
          </w:p>
        </w:tc>
        <w:tc>
          <w:tcPr>
            <w:tcW w:w="1224" w:type="dxa"/>
            <w:shd w:val="clear" w:color="auto" w:fill="B5C0D8"/>
          </w:tcPr>
          <w:p w:rsidR="00E502BC" w:rsidRDefault="00132F77">
            <w:pPr>
              <w:pStyle w:val="CellHeader"/>
              <w:jc w:val="center"/>
            </w:pPr>
            <w:r>
              <w:rPr>
                <w:rFonts w:cs="Times New Roman"/>
              </w:rPr>
              <w:t>Indeks izvršenje 2025./2024.</w:t>
            </w:r>
          </w:p>
        </w:tc>
      </w:tr>
      <w:tr w:rsidR="00E502BC">
        <w:trPr>
          <w:jc w:val="center"/>
        </w:trPr>
        <w:tc>
          <w:tcPr>
            <w:tcW w:w="1632" w:type="dxa"/>
          </w:tcPr>
          <w:p w:rsidR="00E502BC" w:rsidRDefault="00132F77">
            <w:pPr>
              <w:pStyle w:val="CellColumn"/>
              <w:jc w:val="left"/>
            </w:pPr>
            <w:r>
              <w:rPr>
                <w:rFonts w:cs="Times New Roman"/>
              </w:rPr>
              <w:t>K896003-INFORMATIZACIJA DRŽAVNOG IZBORNO</w:t>
            </w:r>
            <w:r>
              <w:rPr>
                <w:rFonts w:cs="Times New Roman"/>
              </w:rPr>
              <w:t>G POVJERENSTVA REPUBLIKE HRVATSKE</w:t>
            </w:r>
          </w:p>
        </w:tc>
        <w:tc>
          <w:tcPr>
            <w:tcW w:w="2041" w:type="dxa"/>
          </w:tcPr>
          <w:p w:rsidR="00E502BC" w:rsidRDefault="00132F77">
            <w:pPr>
              <w:pStyle w:val="CellColumn"/>
              <w:jc w:val="right"/>
            </w:pPr>
            <w:r>
              <w:rPr>
                <w:rFonts w:cs="Times New Roman"/>
              </w:rPr>
              <w:t>24.252</w:t>
            </w:r>
          </w:p>
        </w:tc>
        <w:tc>
          <w:tcPr>
            <w:tcW w:w="2041" w:type="dxa"/>
          </w:tcPr>
          <w:p w:rsidR="00E502BC" w:rsidRDefault="00132F77">
            <w:pPr>
              <w:pStyle w:val="CellColumn"/>
              <w:jc w:val="right"/>
            </w:pPr>
            <w:r>
              <w:rPr>
                <w:rFonts w:cs="Times New Roman"/>
              </w:rPr>
              <w:t>48.400</w:t>
            </w:r>
          </w:p>
        </w:tc>
        <w:tc>
          <w:tcPr>
            <w:tcW w:w="2041" w:type="dxa"/>
          </w:tcPr>
          <w:p w:rsidR="00E502BC" w:rsidRDefault="00132F77">
            <w:pPr>
              <w:pStyle w:val="CellColumn"/>
              <w:jc w:val="right"/>
            </w:pPr>
            <w:r>
              <w:rPr>
                <w:rFonts w:cs="Times New Roman"/>
              </w:rPr>
              <w:t>18.230</w:t>
            </w:r>
          </w:p>
        </w:tc>
        <w:tc>
          <w:tcPr>
            <w:tcW w:w="1224" w:type="dxa"/>
          </w:tcPr>
          <w:p w:rsidR="00E502BC" w:rsidRDefault="00132F77">
            <w:pPr>
              <w:pStyle w:val="CellColumn"/>
              <w:jc w:val="right"/>
            </w:pPr>
            <w:r>
              <w:rPr>
                <w:rFonts w:cs="Times New Roman"/>
              </w:rPr>
              <w:t>37,7</w:t>
            </w:r>
          </w:p>
        </w:tc>
        <w:tc>
          <w:tcPr>
            <w:tcW w:w="1224" w:type="dxa"/>
          </w:tcPr>
          <w:p w:rsidR="00E502BC" w:rsidRDefault="00132F77">
            <w:pPr>
              <w:pStyle w:val="CellColumn"/>
              <w:jc w:val="right"/>
            </w:pPr>
            <w:r>
              <w:rPr>
                <w:rFonts w:cs="Times New Roman"/>
              </w:rPr>
              <w:t>75,2</w:t>
            </w:r>
          </w:p>
        </w:tc>
      </w:tr>
    </w:tbl>
    <w:p w:rsidR="00E502BC" w:rsidRDefault="00E502BC">
      <w:pPr>
        <w:jc w:val="left"/>
      </w:pPr>
    </w:p>
    <w:p w:rsidR="00E502BC" w:rsidRDefault="00132F77">
      <w:pPr>
        <w:pStyle w:val="Naslov8"/>
        <w:jc w:val="left"/>
      </w:pPr>
      <w:r>
        <w:t>Zakonske i druge pravne osnove</w:t>
      </w:r>
    </w:p>
    <w:p w:rsidR="00E502BC" w:rsidRDefault="00132F77">
      <w:r>
        <w:t xml:space="preserve">Zakon o Državnom izbornom povjerenstvu Republike Hrvatske   </w:t>
      </w:r>
    </w:p>
    <w:p w:rsidR="00E502BC" w:rsidRDefault="00132F77">
      <w:r>
        <w:t>Poslovnik o radu Državnog izbornog povjerenstva Republike Hrvatske</w:t>
      </w:r>
    </w:p>
    <w:p w:rsidR="00E502BC" w:rsidRDefault="00132F77">
      <w:pPr>
        <w:pStyle w:val="Naslov8"/>
        <w:jc w:val="left"/>
      </w:pPr>
      <w:r>
        <w:t>Opis aktivnosti</w:t>
      </w:r>
    </w:p>
    <w:p w:rsidR="00E502BC" w:rsidRDefault="00132F77">
      <w:r>
        <w:t>U skladu s planiranim sredstvima, tijekom 2025. unprijeđena je informatička infrastruktura kroz nabavu novih prijenosnih i stolnih računala te je provedeno ulaganje u projekt implementacije virtualnog pomoćnika (tzv. chat bot-a) na mrežne stranice Državnog</w:t>
      </w:r>
      <w:r>
        <w:t xml:space="preserve"> izbornog povjerenstva. Dio nabave uredske opreme vezan je uz zapošljavanje troje novih službenika, dok je dio vezan uz zamjenu postojeće dotrajale uredske opreme. Ukupno utrošena sredstva iznosila su 18.229,75 eura (od čega se 75,9% odnosi na nabavu ureds</w:t>
      </w:r>
      <w:r>
        <w:t xml:space="preserve">ke oprema, a 24.1% na ulaganje), što iznosi 37,7% od plana za 2025.  </w:t>
      </w:r>
    </w:p>
    <w:p w:rsidR="00E502BC" w:rsidRDefault="00132F77">
      <w:r>
        <w:t>Do odstupanja u odnosu na planirano došlo je iz razloga što nije realiziran razvoj sustava eZahtjev za pristup aplikaciji za dostavu i objavu financijskih izvještaja u području nadzora f</w:t>
      </w:r>
      <w:r>
        <w:t>inanciranja političkih aktivnosti, razvoja evidencije referendumskih inicijativa te manja unaprijeđenja informacijskog sustava za nadzor financiranja referendumske aktivnosti, jer za isto nisu stvoreni potrebni preduvjeti (donošenje novih zakonskih propisa</w:t>
      </w:r>
      <w:r>
        <w:t xml:space="preserve">). </w:t>
      </w:r>
    </w:p>
    <w:p w:rsidR="00E502BC" w:rsidRDefault="00132F77">
      <w:r>
        <w:t>U odnosu na isto izvještajno razdoblje prethodne godine došlo je do smanjenja. Do takvog odstupanja došlo je prvenstveno zbog toga što u 2025. nije bilo nadogradnje postojećeg informacijskog sustava, a u 2024. nadogradnja je provedena dok su ulaganja u</w:t>
      </w:r>
      <w:r>
        <w:t xml:space="preserve"> nabavu nove uredske opreme ostala na približno istoj razini.</w:t>
      </w:r>
    </w:p>
    <w:sectPr w:rsidR="00E502BC"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132F77"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132F77"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32F77"/>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502BC"/>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A7E47-33B4-44D2-A580-0D57E8FA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3575</Words>
  <Characters>20379</Characters>
  <Application>Microsoft Office Word</Application>
  <DocSecurity>0</DocSecurity>
  <Lines>169</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Vlatka Prskalo</cp:lastModifiedBy>
  <cp:revision>2</cp:revision>
  <dcterms:created xsi:type="dcterms:W3CDTF">2026-03-27T07:44:00Z</dcterms:created>
  <dcterms:modified xsi:type="dcterms:W3CDTF">2026-03-27T07:44:00Z</dcterms:modified>
</cp:coreProperties>
</file>